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1259" w:rsidRPr="00650FFA" w:rsidRDefault="00650FFA" w:rsidP="00391259">
      <w:pPr>
        <w:spacing w:after="0" w:line="240" w:lineRule="auto"/>
        <w:jc w:val="center"/>
        <w:rPr>
          <w:b/>
          <w:sz w:val="24"/>
          <w:szCs w:val="24"/>
        </w:rPr>
      </w:pPr>
      <w:r w:rsidRPr="00650FFA">
        <w:rPr>
          <w:b/>
          <w:sz w:val="24"/>
          <w:szCs w:val="24"/>
        </w:rPr>
        <w:t>DRAFT</w:t>
      </w:r>
      <w:r w:rsidR="00180FB1">
        <w:rPr>
          <w:b/>
          <w:sz w:val="24"/>
          <w:szCs w:val="24"/>
        </w:rPr>
        <w:t xml:space="preserve"> Update 3/24/14</w:t>
      </w:r>
    </w:p>
    <w:p w:rsidR="00BA28CC" w:rsidRPr="00650FFA" w:rsidRDefault="00391259" w:rsidP="00391259">
      <w:pPr>
        <w:spacing w:after="0" w:line="240" w:lineRule="auto"/>
        <w:jc w:val="center"/>
        <w:rPr>
          <w:b/>
          <w:sz w:val="24"/>
          <w:szCs w:val="24"/>
        </w:rPr>
      </w:pPr>
      <w:r w:rsidRPr="00650FFA">
        <w:rPr>
          <w:b/>
          <w:sz w:val="24"/>
          <w:szCs w:val="24"/>
        </w:rPr>
        <w:t>Recommendations for Payment of FY 2014 Contract Support Cost</w:t>
      </w:r>
    </w:p>
    <w:p w:rsidR="00391259" w:rsidRPr="00650FFA" w:rsidRDefault="00650FFA" w:rsidP="00391259">
      <w:pPr>
        <w:spacing w:after="0" w:line="240" w:lineRule="auto"/>
        <w:jc w:val="center"/>
        <w:rPr>
          <w:sz w:val="24"/>
          <w:szCs w:val="24"/>
        </w:rPr>
      </w:pPr>
      <w:r w:rsidRPr="00650FFA">
        <w:rPr>
          <w:b/>
          <w:sz w:val="24"/>
          <w:szCs w:val="24"/>
        </w:rPr>
        <w:t>CSC Technical Workgroup</w:t>
      </w:r>
    </w:p>
    <w:p w:rsidR="00391259" w:rsidRPr="00650FFA" w:rsidRDefault="00391259" w:rsidP="00391259">
      <w:pPr>
        <w:spacing w:after="0" w:line="240" w:lineRule="auto"/>
        <w:rPr>
          <w:sz w:val="24"/>
          <w:szCs w:val="24"/>
        </w:rPr>
      </w:pPr>
    </w:p>
    <w:p w:rsidR="00391259" w:rsidRPr="00650FFA" w:rsidRDefault="00391259" w:rsidP="00391259">
      <w:pPr>
        <w:spacing w:after="0" w:line="240" w:lineRule="auto"/>
        <w:rPr>
          <w:sz w:val="24"/>
          <w:szCs w:val="24"/>
        </w:rPr>
      </w:pPr>
    </w:p>
    <w:p w:rsidR="00391259" w:rsidRPr="00650FFA" w:rsidRDefault="00391259" w:rsidP="00391259">
      <w:pPr>
        <w:spacing w:after="0" w:line="240" w:lineRule="auto"/>
        <w:ind w:firstLine="720"/>
        <w:rPr>
          <w:sz w:val="24"/>
          <w:szCs w:val="24"/>
        </w:rPr>
      </w:pPr>
      <w:r w:rsidRPr="00650FFA">
        <w:rPr>
          <w:sz w:val="24"/>
          <w:szCs w:val="24"/>
        </w:rPr>
        <w:t>At its meeting on February 25, 2014, the CSCWG reached consensus on the following recommendations to the IHS Director regarding payment of Contract Support Costs (CSC) for FY 2014:</w:t>
      </w:r>
    </w:p>
    <w:p w:rsidR="00391259" w:rsidRPr="00650FFA" w:rsidRDefault="00391259" w:rsidP="00391259">
      <w:pPr>
        <w:spacing w:after="0" w:line="240" w:lineRule="auto"/>
        <w:ind w:firstLine="720"/>
        <w:rPr>
          <w:sz w:val="24"/>
          <w:szCs w:val="24"/>
        </w:rPr>
      </w:pPr>
    </w:p>
    <w:p w:rsidR="00391259" w:rsidRPr="00650FFA" w:rsidRDefault="0092235E" w:rsidP="0092235E">
      <w:pPr>
        <w:pStyle w:val="ListParagraph"/>
        <w:numPr>
          <w:ilvl w:val="0"/>
          <w:numId w:val="1"/>
        </w:numPr>
        <w:spacing w:after="0" w:line="240" w:lineRule="auto"/>
        <w:rPr>
          <w:sz w:val="24"/>
          <w:szCs w:val="24"/>
        </w:rPr>
      </w:pPr>
      <w:r w:rsidRPr="00650FFA">
        <w:rPr>
          <w:sz w:val="24"/>
          <w:szCs w:val="24"/>
        </w:rPr>
        <w:t xml:space="preserve">Develop a </w:t>
      </w:r>
      <w:r w:rsidRPr="00650FFA">
        <w:rPr>
          <w:b/>
          <w:sz w:val="24"/>
          <w:szCs w:val="24"/>
        </w:rPr>
        <w:t>Dear Tribal Leader Letter (DTLL)</w:t>
      </w:r>
      <w:r w:rsidRPr="00650FFA">
        <w:rPr>
          <w:sz w:val="24"/>
          <w:szCs w:val="24"/>
        </w:rPr>
        <w:t xml:space="preserve"> as soon as practicable, ideally by March 7, 2014, </w:t>
      </w:r>
      <w:r w:rsidR="000A6255" w:rsidRPr="00650FFA">
        <w:rPr>
          <w:sz w:val="24"/>
          <w:szCs w:val="24"/>
        </w:rPr>
        <w:t xml:space="preserve">communicating </w:t>
      </w:r>
      <w:r w:rsidRPr="00650FFA">
        <w:rPr>
          <w:sz w:val="24"/>
          <w:szCs w:val="24"/>
        </w:rPr>
        <w:t>the recommendations from the CSCWG for distribution of FY 2014 CSC funding, with a request for comments by March 21, 2014.</w:t>
      </w:r>
    </w:p>
    <w:p w:rsidR="0092235E" w:rsidRPr="00650FFA" w:rsidRDefault="003B643A" w:rsidP="0092235E">
      <w:pPr>
        <w:pStyle w:val="ListParagraph"/>
        <w:numPr>
          <w:ilvl w:val="0"/>
          <w:numId w:val="1"/>
        </w:numPr>
        <w:spacing w:after="0" w:line="240" w:lineRule="auto"/>
        <w:rPr>
          <w:sz w:val="24"/>
          <w:szCs w:val="24"/>
        </w:rPr>
      </w:pPr>
      <w:r w:rsidRPr="00650FFA">
        <w:rPr>
          <w:sz w:val="24"/>
          <w:szCs w:val="24"/>
        </w:rPr>
        <w:t>Distribute FY 2014 CSC increases according to IHS policy by March 31, 2014, subject to the apportionment process.</w:t>
      </w:r>
    </w:p>
    <w:p w:rsidR="003B643A" w:rsidRPr="00650FFA" w:rsidRDefault="003B643A" w:rsidP="0092235E">
      <w:pPr>
        <w:pStyle w:val="ListParagraph"/>
        <w:numPr>
          <w:ilvl w:val="0"/>
          <w:numId w:val="1"/>
        </w:numPr>
        <w:spacing w:after="0" w:line="240" w:lineRule="auto"/>
        <w:rPr>
          <w:sz w:val="24"/>
          <w:szCs w:val="24"/>
        </w:rPr>
      </w:pPr>
      <w:r w:rsidRPr="00650FFA">
        <w:rPr>
          <w:sz w:val="24"/>
          <w:szCs w:val="24"/>
        </w:rPr>
        <w:t>Use the FY 2013 Shortfall Data with the following adjustments:</w:t>
      </w:r>
    </w:p>
    <w:p w:rsidR="003B643A" w:rsidRPr="00650FFA" w:rsidRDefault="003B643A" w:rsidP="003B643A">
      <w:pPr>
        <w:pStyle w:val="ListParagraph"/>
        <w:numPr>
          <w:ilvl w:val="1"/>
          <w:numId w:val="1"/>
        </w:numPr>
        <w:spacing w:after="0" w:line="240" w:lineRule="auto"/>
        <w:rPr>
          <w:sz w:val="24"/>
          <w:szCs w:val="24"/>
        </w:rPr>
      </w:pPr>
      <w:r w:rsidRPr="00650FFA">
        <w:rPr>
          <w:sz w:val="24"/>
          <w:szCs w:val="24"/>
        </w:rPr>
        <w:t>Inflation on Direct CSC (DCSC), using the non-medical inflation rate;</w:t>
      </w:r>
    </w:p>
    <w:p w:rsidR="003B643A" w:rsidRPr="00650FFA" w:rsidRDefault="003B643A" w:rsidP="003B643A">
      <w:pPr>
        <w:pStyle w:val="ListParagraph"/>
        <w:numPr>
          <w:ilvl w:val="1"/>
          <w:numId w:val="1"/>
        </w:numPr>
        <w:spacing w:after="0" w:line="240" w:lineRule="auto"/>
        <w:rPr>
          <w:sz w:val="24"/>
          <w:szCs w:val="24"/>
        </w:rPr>
      </w:pPr>
      <w:r w:rsidRPr="00650FFA">
        <w:rPr>
          <w:sz w:val="24"/>
          <w:szCs w:val="24"/>
        </w:rPr>
        <w:t>IDC on any previously unpaid DCSC;</w:t>
      </w:r>
    </w:p>
    <w:p w:rsidR="003B643A" w:rsidRPr="00650FFA" w:rsidRDefault="003B643A" w:rsidP="003B643A">
      <w:pPr>
        <w:pStyle w:val="ListParagraph"/>
        <w:numPr>
          <w:ilvl w:val="1"/>
          <w:numId w:val="1"/>
        </w:numPr>
        <w:spacing w:after="0" w:line="240" w:lineRule="auto"/>
        <w:rPr>
          <w:sz w:val="24"/>
          <w:szCs w:val="24"/>
        </w:rPr>
      </w:pPr>
      <w:r w:rsidRPr="00650FFA">
        <w:rPr>
          <w:sz w:val="24"/>
          <w:szCs w:val="24"/>
        </w:rPr>
        <w:t xml:space="preserve">Add program increases to the base (CHS, staffing increases, </w:t>
      </w:r>
      <w:proofErr w:type="spellStart"/>
      <w:r w:rsidRPr="00650FFA">
        <w:rPr>
          <w:sz w:val="24"/>
          <w:szCs w:val="24"/>
        </w:rPr>
        <w:t>etc</w:t>
      </w:r>
      <w:proofErr w:type="spellEnd"/>
      <w:r w:rsidRPr="00650FFA">
        <w:rPr>
          <w:sz w:val="24"/>
          <w:szCs w:val="24"/>
        </w:rPr>
        <w:t>);</w:t>
      </w:r>
    </w:p>
    <w:p w:rsidR="003B643A" w:rsidRPr="00650FFA" w:rsidRDefault="003B643A" w:rsidP="003B643A">
      <w:pPr>
        <w:pStyle w:val="ListParagraph"/>
        <w:numPr>
          <w:ilvl w:val="1"/>
          <w:numId w:val="1"/>
        </w:numPr>
        <w:spacing w:after="0" w:line="240" w:lineRule="auto"/>
        <w:rPr>
          <w:sz w:val="24"/>
          <w:szCs w:val="24"/>
        </w:rPr>
      </w:pPr>
      <w:r w:rsidRPr="00650FFA">
        <w:rPr>
          <w:sz w:val="24"/>
          <w:szCs w:val="24"/>
        </w:rPr>
        <w:t>IDC rate updates.</w:t>
      </w:r>
    </w:p>
    <w:p w:rsidR="003B643A" w:rsidRPr="00650FFA" w:rsidRDefault="003A7886" w:rsidP="003B643A">
      <w:pPr>
        <w:pStyle w:val="ListParagraph"/>
        <w:numPr>
          <w:ilvl w:val="0"/>
          <w:numId w:val="1"/>
        </w:numPr>
        <w:spacing w:after="0" w:line="240" w:lineRule="auto"/>
        <w:rPr>
          <w:sz w:val="24"/>
          <w:szCs w:val="24"/>
        </w:rPr>
      </w:pPr>
      <w:r w:rsidRPr="00650FFA">
        <w:rPr>
          <w:sz w:val="24"/>
          <w:szCs w:val="24"/>
        </w:rPr>
        <w:t xml:space="preserve">New and expanded requests for CSC </w:t>
      </w:r>
      <w:r w:rsidR="00CC12EA" w:rsidRPr="00650FFA">
        <w:rPr>
          <w:sz w:val="24"/>
          <w:szCs w:val="24"/>
        </w:rPr>
        <w:t xml:space="preserve">are recommended </w:t>
      </w:r>
      <w:r w:rsidRPr="00650FFA">
        <w:rPr>
          <w:sz w:val="24"/>
          <w:szCs w:val="24"/>
        </w:rPr>
        <w:t xml:space="preserve">to be processed according to IHS policy, for which $30 </w:t>
      </w:r>
      <w:r w:rsidR="000A6255" w:rsidRPr="00650FFA">
        <w:rPr>
          <w:sz w:val="24"/>
          <w:szCs w:val="24"/>
        </w:rPr>
        <w:t>million has been set aside by IHS.</w:t>
      </w:r>
    </w:p>
    <w:p w:rsidR="000A6255" w:rsidRPr="00650FFA" w:rsidRDefault="000A6255" w:rsidP="000A6255">
      <w:pPr>
        <w:spacing w:after="0" w:line="240" w:lineRule="auto"/>
        <w:rPr>
          <w:sz w:val="24"/>
          <w:szCs w:val="24"/>
        </w:rPr>
      </w:pPr>
    </w:p>
    <w:p w:rsidR="00650FFA" w:rsidRPr="00650FFA" w:rsidRDefault="00650FFA" w:rsidP="00650FFA">
      <w:pPr>
        <w:spacing w:after="0" w:line="240" w:lineRule="auto"/>
        <w:rPr>
          <w:b/>
          <w:sz w:val="24"/>
          <w:szCs w:val="24"/>
        </w:rPr>
      </w:pPr>
      <w:r w:rsidRPr="005D0524">
        <w:rPr>
          <w:b/>
          <w:sz w:val="24"/>
          <w:szCs w:val="24"/>
          <w:u w:val="single"/>
        </w:rPr>
        <w:t>Issue:</w:t>
      </w:r>
      <w:r w:rsidRPr="00650FFA">
        <w:rPr>
          <w:b/>
          <w:sz w:val="24"/>
          <w:szCs w:val="24"/>
        </w:rPr>
        <w:t xml:space="preserve">  Tribes may have updates later in the year that change the CSC requirement, upward or downward.  There is a risk of Tribes begin overpaid CSC as a result.</w:t>
      </w:r>
    </w:p>
    <w:p w:rsidR="009D4027" w:rsidRDefault="009D4027" w:rsidP="009D4027">
      <w:pPr>
        <w:spacing w:after="0" w:line="240" w:lineRule="auto"/>
        <w:rPr>
          <w:b/>
          <w:sz w:val="24"/>
          <w:szCs w:val="24"/>
        </w:rPr>
      </w:pPr>
    </w:p>
    <w:p w:rsidR="009D4027" w:rsidRPr="009D4027" w:rsidRDefault="009D4027" w:rsidP="009D4027">
      <w:pPr>
        <w:spacing w:after="0" w:line="240" w:lineRule="auto"/>
        <w:rPr>
          <w:sz w:val="24"/>
          <w:szCs w:val="24"/>
        </w:rPr>
      </w:pPr>
      <w:r>
        <w:rPr>
          <w:b/>
          <w:sz w:val="24"/>
          <w:szCs w:val="24"/>
        </w:rPr>
        <w:t xml:space="preserve">Assumptions:  </w:t>
      </w:r>
      <w:r w:rsidRPr="009D4027">
        <w:rPr>
          <w:sz w:val="24"/>
          <w:szCs w:val="24"/>
        </w:rPr>
        <w:t>(1) That CSC funding in the recurring base (i.e., the actual FY 2013 level) is being paid as soon as possible following apportionment to IHS.  Thus, these options only involve the CSC increase received to the IHS in FY 2014.  (2) That “approved IDC rate” carries the same meaning in the IHS CSC policy, specifically, that an approved rate may be final or provisional.</w:t>
      </w:r>
    </w:p>
    <w:p w:rsidR="009D4027" w:rsidRPr="009D4027" w:rsidRDefault="009D4027" w:rsidP="009D4027">
      <w:pPr>
        <w:spacing w:after="0" w:line="240" w:lineRule="auto"/>
        <w:rPr>
          <w:sz w:val="24"/>
          <w:szCs w:val="24"/>
        </w:rPr>
      </w:pPr>
    </w:p>
    <w:p w:rsidR="00650FFA" w:rsidRDefault="00650FFA" w:rsidP="00650FFA">
      <w:pPr>
        <w:spacing w:after="0" w:line="240" w:lineRule="auto"/>
        <w:ind w:firstLine="720"/>
        <w:rPr>
          <w:sz w:val="24"/>
          <w:szCs w:val="24"/>
        </w:rPr>
      </w:pPr>
      <w:r w:rsidRPr="00650FFA">
        <w:rPr>
          <w:sz w:val="24"/>
          <w:szCs w:val="24"/>
        </w:rPr>
        <w:t>The Technical Workgroup discussed Options for</w:t>
      </w:r>
      <w:r w:rsidR="009D4027">
        <w:rPr>
          <w:sz w:val="24"/>
          <w:szCs w:val="24"/>
        </w:rPr>
        <w:t xml:space="preserve"> payment of FY 2014 CSC funding</w:t>
      </w:r>
      <w:r>
        <w:rPr>
          <w:sz w:val="24"/>
          <w:szCs w:val="24"/>
        </w:rPr>
        <w:t xml:space="preserve">:  </w:t>
      </w:r>
    </w:p>
    <w:p w:rsidR="00F165E5" w:rsidRDefault="00F165E5" w:rsidP="00650FFA">
      <w:pPr>
        <w:spacing w:after="0" w:line="240" w:lineRule="auto"/>
        <w:ind w:firstLine="720"/>
        <w:rPr>
          <w:sz w:val="24"/>
          <w:szCs w:val="24"/>
        </w:rPr>
      </w:pPr>
    </w:p>
    <w:p w:rsidR="00CE3025" w:rsidRPr="00180FB1" w:rsidRDefault="00CE3025" w:rsidP="00CE3025">
      <w:pPr>
        <w:spacing w:after="0" w:line="240" w:lineRule="auto"/>
        <w:rPr>
          <w:b/>
          <w:sz w:val="24"/>
          <w:szCs w:val="24"/>
          <w:u w:val="single"/>
        </w:rPr>
      </w:pPr>
      <w:r w:rsidRPr="00180FB1">
        <w:rPr>
          <w:b/>
          <w:sz w:val="24"/>
          <w:szCs w:val="24"/>
          <w:u w:val="single"/>
        </w:rPr>
        <w:t xml:space="preserve">Option </w:t>
      </w:r>
      <w:r w:rsidR="00F165E5" w:rsidRPr="00180FB1">
        <w:rPr>
          <w:b/>
          <w:sz w:val="24"/>
          <w:szCs w:val="24"/>
          <w:u w:val="single"/>
        </w:rPr>
        <w:t>1</w:t>
      </w:r>
    </w:p>
    <w:p w:rsidR="00A74378" w:rsidRPr="00180FB1" w:rsidRDefault="00CE3025" w:rsidP="00CE3025">
      <w:pPr>
        <w:numPr>
          <w:ilvl w:val="0"/>
          <w:numId w:val="2"/>
        </w:numPr>
        <w:spacing w:after="0" w:line="240" w:lineRule="auto"/>
        <w:rPr>
          <w:sz w:val="24"/>
          <w:szCs w:val="24"/>
        </w:rPr>
      </w:pPr>
      <w:r w:rsidRPr="00180FB1">
        <w:rPr>
          <w:sz w:val="24"/>
          <w:szCs w:val="24"/>
        </w:rPr>
        <w:t xml:space="preserve">Hold no CSC funding back; make full payment </w:t>
      </w:r>
      <w:r w:rsidR="00DC140B" w:rsidRPr="00180FB1">
        <w:rPr>
          <w:sz w:val="24"/>
          <w:szCs w:val="24"/>
        </w:rPr>
        <w:t xml:space="preserve">immediately, </w:t>
      </w:r>
      <w:r w:rsidRPr="00180FB1">
        <w:rPr>
          <w:sz w:val="24"/>
          <w:szCs w:val="24"/>
        </w:rPr>
        <w:t xml:space="preserve">  based upon the latest </w:t>
      </w:r>
      <w:r w:rsidR="00A07417" w:rsidRPr="00180FB1">
        <w:rPr>
          <w:sz w:val="24"/>
          <w:szCs w:val="24"/>
        </w:rPr>
        <w:t xml:space="preserve">Policy and </w:t>
      </w:r>
      <w:r w:rsidR="00F165E5" w:rsidRPr="00180FB1">
        <w:rPr>
          <w:sz w:val="24"/>
          <w:szCs w:val="24"/>
        </w:rPr>
        <w:t>Shortfall Report Information.</w:t>
      </w:r>
    </w:p>
    <w:p w:rsidR="00A74378" w:rsidRPr="00180FB1" w:rsidRDefault="00A74378" w:rsidP="00A74378">
      <w:pPr>
        <w:numPr>
          <w:ilvl w:val="0"/>
          <w:numId w:val="2"/>
        </w:numPr>
        <w:spacing w:after="0" w:line="240" w:lineRule="auto"/>
        <w:rPr>
          <w:sz w:val="24"/>
          <w:szCs w:val="24"/>
        </w:rPr>
      </w:pPr>
      <w:r w:rsidRPr="00180FB1">
        <w:rPr>
          <w:sz w:val="24"/>
          <w:szCs w:val="24"/>
        </w:rPr>
        <w:t>Have Area Offices continue to monitor each Tribe’s CSC Requirement; changes in 106(a)(1) funding and changes in IDC Rates and modify awards if necessary</w:t>
      </w:r>
    </w:p>
    <w:p w:rsidR="00A74378" w:rsidRPr="00180FB1" w:rsidRDefault="00A74378" w:rsidP="00A74378">
      <w:pPr>
        <w:spacing w:after="0" w:line="240" w:lineRule="auto"/>
        <w:ind w:left="720"/>
        <w:rPr>
          <w:sz w:val="24"/>
          <w:szCs w:val="24"/>
        </w:rPr>
      </w:pPr>
    </w:p>
    <w:p w:rsidR="00CE3025" w:rsidRPr="00180FB1" w:rsidRDefault="00CE3025" w:rsidP="00CE3025">
      <w:pPr>
        <w:spacing w:after="0" w:line="240" w:lineRule="auto"/>
        <w:rPr>
          <w:b/>
          <w:sz w:val="24"/>
          <w:szCs w:val="24"/>
          <w:u w:val="single"/>
        </w:rPr>
      </w:pPr>
      <w:r w:rsidRPr="00180FB1">
        <w:rPr>
          <w:b/>
          <w:sz w:val="24"/>
          <w:szCs w:val="24"/>
          <w:u w:val="single"/>
        </w:rPr>
        <w:t xml:space="preserve">Pros/Cons for Option </w:t>
      </w:r>
      <w:r w:rsidR="00F165E5" w:rsidRPr="00180FB1">
        <w:rPr>
          <w:b/>
          <w:sz w:val="24"/>
          <w:szCs w:val="24"/>
          <w:u w:val="single"/>
        </w:rPr>
        <w:t>1</w:t>
      </w:r>
    </w:p>
    <w:p w:rsidR="00CE3025" w:rsidRPr="00180FB1" w:rsidRDefault="00CE3025" w:rsidP="00CE3025">
      <w:pPr>
        <w:numPr>
          <w:ilvl w:val="0"/>
          <w:numId w:val="3"/>
        </w:numPr>
        <w:spacing w:after="0" w:line="240" w:lineRule="auto"/>
        <w:rPr>
          <w:sz w:val="24"/>
          <w:szCs w:val="24"/>
        </w:rPr>
      </w:pPr>
      <w:r w:rsidRPr="00180FB1">
        <w:rPr>
          <w:sz w:val="24"/>
          <w:szCs w:val="24"/>
        </w:rPr>
        <w:t>Pro – no delay in any Tribe receiving all CSC funding increases;</w:t>
      </w:r>
    </w:p>
    <w:p w:rsidR="00CE3025" w:rsidRPr="00180FB1" w:rsidRDefault="00CE3025" w:rsidP="00CE3025">
      <w:pPr>
        <w:numPr>
          <w:ilvl w:val="0"/>
          <w:numId w:val="3"/>
        </w:numPr>
        <w:spacing w:after="0" w:line="240" w:lineRule="auto"/>
        <w:rPr>
          <w:sz w:val="24"/>
          <w:szCs w:val="24"/>
        </w:rPr>
      </w:pPr>
      <w:r w:rsidRPr="00180FB1">
        <w:rPr>
          <w:sz w:val="24"/>
          <w:szCs w:val="24"/>
        </w:rPr>
        <w:t>Pro – less administrative burden, because only one CSC payment is made;</w:t>
      </w:r>
    </w:p>
    <w:p w:rsidR="00CE3025" w:rsidRPr="00180FB1" w:rsidRDefault="00CE3025" w:rsidP="00CE3025">
      <w:pPr>
        <w:numPr>
          <w:ilvl w:val="0"/>
          <w:numId w:val="3"/>
        </w:numPr>
        <w:spacing w:after="0" w:line="240" w:lineRule="auto"/>
        <w:rPr>
          <w:sz w:val="24"/>
          <w:szCs w:val="24"/>
        </w:rPr>
      </w:pPr>
      <w:r w:rsidRPr="00180FB1">
        <w:rPr>
          <w:sz w:val="24"/>
          <w:szCs w:val="24"/>
        </w:rPr>
        <w:lastRenderedPageBreak/>
        <w:t>Con – there is a r</w:t>
      </w:r>
      <w:bookmarkStart w:id="0" w:name="_GoBack"/>
      <w:bookmarkEnd w:id="0"/>
      <w:r w:rsidRPr="00180FB1">
        <w:rPr>
          <w:sz w:val="24"/>
          <w:szCs w:val="24"/>
        </w:rPr>
        <w:t xml:space="preserve">isk of Tribes having updated approved rates that are received after the payment of the CSC increases are made.  </w:t>
      </w:r>
    </w:p>
    <w:p w:rsidR="00650FFA" w:rsidRDefault="00650FFA" w:rsidP="00650FFA">
      <w:pPr>
        <w:spacing w:after="0" w:line="240" w:lineRule="auto"/>
        <w:rPr>
          <w:sz w:val="24"/>
          <w:szCs w:val="24"/>
        </w:rPr>
      </w:pPr>
    </w:p>
    <w:p w:rsidR="00650FFA" w:rsidRPr="00650FFA" w:rsidRDefault="00650FFA" w:rsidP="000A6255">
      <w:pPr>
        <w:spacing w:after="0" w:line="240" w:lineRule="auto"/>
        <w:rPr>
          <w:b/>
          <w:sz w:val="24"/>
          <w:szCs w:val="24"/>
          <w:u w:val="single"/>
        </w:rPr>
      </w:pPr>
      <w:r w:rsidRPr="00650FFA">
        <w:rPr>
          <w:b/>
          <w:sz w:val="24"/>
          <w:szCs w:val="24"/>
          <w:u w:val="single"/>
        </w:rPr>
        <w:t xml:space="preserve">Option </w:t>
      </w:r>
      <w:r w:rsidR="00F165E5">
        <w:rPr>
          <w:b/>
          <w:sz w:val="24"/>
          <w:szCs w:val="24"/>
          <w:u w:val="single"/>
        </w:rPr>
        <w:t>2</w:t>
      </w:r>
      <w:r w:rsidRPr="00650FFA">
        <w:rPr>
          <w:b/>
          <w:sz w:val="24"/>
          <w:szCs w:val="24"/>
          <w:u w:val="single"/>
        </w:rPr>
        <w:t xml:space="preserve"> </w:t>
      </w:r>
    </w:p>
    <w:p w:rsidR="00650FFA" w:rsidRDefault="00650FFA" w:rsidP="00650FFA">
      <w:pPr>
        <w:pStyle w:val="ListParagraph"/>
        <w:numPr>
          <w:ilvl w:val="0"/>
          <w:numId w:val="2"/>
        </w:numPr>
        <w:spacing w:after="0" w:line="240" w:lineRule="auto"/>
        <w:rPr>
          <w:sz w:val="24"/>
          <w:szCs w:val="24"/>
        </w:rPr>
      </w:pPr>
      <w:r w:rsidRPr="00650FFA">
        <w:rPr>
          <w:sz w:val="24"/>
          <w:szCs w:val="24"/>
        </w:rPr>
        <w:t>Hold back some percentage of the CSC increase from all Tribes</w:t>
      </w:r>
      <w:r w:rsidR="002F2BE5">
        <w:rPr>
          <w:sz w:val="24"/>
          <w:szCs w:val="24"/>
        </w:rPr>
        <w:t xml:space="preserve"> (5%);</w:t>
      </w:r>
    </w:p>
    <w:p w:rsidR="00650FFA" w:rsidRDefault="00650FFA" w:rsidP="00650FFA">
      <w:pPr>
        <w:pStyle w:val="ListParagraph"/>
        <w:numPr>
          <w:ilvl w:val="0"/>
          <w:numId w:val="2"/>
        </w:numPr>
        <w:spacing w:after="0" w:line="240" w:lineRule="auto"/>
        <w:rPr>
          <w:sz w:val="24"/>
          <w:szCs w:val="24"/>
        </w:rPr>
      </w:pPr>
      <w:r>
        <w:rPr>
          <w:sz w:val="24"/>
          <w:szCs w:val="24"/>
        </w:rPr>
        <w:t xml:space="preserve">Pay the </w:t>
      </w:r>
      <w:r w:rsidR="005D0524">
        <w:rPr>
          <w:sz w:val="24"/>
          <w:szCs w:val="24"/>
        </w:rPr>
        <w:t xml:space="preserve">balance </w:t>
      </w:r>
      <w:r>
        <w:rPr>
          <w:sz w:val="24"/>
          <w:szCs w:val="24"/>
        </w:rPr>
        <w:t>as soon as possible following apportionment;</w:t>
      </w:r>
    </w:p>
    <w:p w:rsidR="000A6255" w:rsidRDefault="005D0524" w:rsidP="00650FFA">
      <w:pPr>
        <w:pStyle w:val="ListParagraph"/>
        <w:numPr>
          <w:ilvl w:val="0"/>
          <w:numId w:val="2"/>
        </w:numPr>
        <w:spacing w:after="0" w:line="240" w:lineRule="auto"/>
        <w:rPr>
          <w:sz w:val="24"/>
          <w:szCs w:val="24"/>
        </w:rPr>
      </w:pPr>
      <w:r>
        <w:rPr>
          <w:sz w:val="24"/>
          <w:szCs w:val="24"/>
        </w:rPr>
        <w:t xml:space="preserve">Make final payment </w:t>
      </w:r>
      <w:r w:rsidR="00650FFA">
        <w:rPr>
          <w:sz w:val="24"/>
          <w:szCs w:val="24"/>
        </w:rPr>
        <w:t>on a final reconciliation to occur the last quarter of FY 2014.</w:t>
      </w:r>
    </w:p>
    <w:p w:rsidR="00650FFA" w:rsidRDefault="00650FFA" w:rsidP="00650FFA">
      <w:pPr>
        <w:spacing w:after="0" w:line="240" w:lineRule="auto"/>
        <w:rPr>
          <w:sz w:val="24"/>
          <w:szCs w:val="24"/>
        </w:rPr>
      </w:pPr>
    </w:p>
    <w:p w:rsidR="00650FFA" w:rsidRPr="00650FFA" w:rsidRDefault="00650FFA" w:rsidP="00650FFA">
      <w:pPr>
        <w:spacing w:after="0" w:line="240" w:lineRule="auto"/>
        <w:ind w:left="360"/>
        <w:rPr>
          <w:b/>
          <w:sz w:val="24"/>
          <w:szCs w:val="24"/>
          <w:u w:val="single"/>
        </w:rPr>
      </w:pPr>
      <w:r w:rsidRPr="00650FFA">
        <w:rPr>
          <w:b/>
          <w:sz w:val="24"/>
          <w:szCs w:val="24"/>
          <w:u w:val="single"/>
        </w:rPr>
        <w:t xml:space="preserve">Pros/Cons for Option </w:t>
      </w:r>
      <w:r w:rsidR="00F165E5">
        <w:rPr>
          <w:b/>
          <w:sz w:val="24"/>
          <w:szCs w:val="24"/>
          <w:u w:val="single"/>
        </w:rPr>
        <w:t>2</w:t>
      </w:r>
    </w:p>
    <w:p w:rsidR="00650FFA" w:rsidRDefault="00650FFA" w:rsidP="00650FFA">
      <w:pPr>
        <w:pStyle w:val="ListParagraph"/>
        <w:numPr>
          <w:ilvl w:val="0"/>
          <w:numId w:val="3"/>
        </w:numPr>
        <w:spacing w:after="0" w:line="240" w:lineRule="auto"/>
        <w:ind w:left="1080"/>
        <w:rPr>
          <w:sz w:val="24"/>
          <w:szCs w:val="24"/>
        </w:rPr>
      </w:pPr>
      <w:r>
        <w:rPr>
          <w:sz w:val="24"/>
          <w:szCs w:val="24"/>
        </w:rPr>
        <w:t xml:space="preserve">Pro – most of the CSC funding </w:t>
      </w:r>
      <w:r w:rsidR="009D4027">
        <w:rPr>
          <w:sz w:val="24"/>
          <w:szCs w:val="24"/>
        </w:rPr>
        <w:t xml:space="preserve">increases </w:t>
      </w:r>
      <w:r w:rsidR="002F2BE5">
        <w:rPr>
          <w:sz w:val="24"/>
          <w:szCs w:val="24"/>
        </w:rPr>
        <w:t xml:space="preserve">(95%) </w:t>
      </w:r>
      <w:r w:rsidR="009D4027">
        <w:rPr>
          <w:sz w:val="24"/>
          <w:szCs w:val="24"/>
        </w:rPr>
        <w:t>get</w:t>
      </w:r>
      <w:r>
        <w:rPr>
          <w:sz w:val="24"/>
          <w:szCs w:val="24"/>
        </w:rPr>
        <w:t xml:space="preserve"> distributed right away;</w:t>
      </w:r>
    </w:p>
    <w:p w:rsidR="00650FFA" w:rsidRDefault="00650FFA" w:rsidP="00650FFA">
      <w:pPr>
        <w:pStyle w:val="ListParagraph"/>
        <w:numPr>
          <w:ilvl w:val="0"/>
          <w:numId w:val="3"/>
        </w:numPr>
        <w:spacing w:after="0" w:line="240" w:lineRule="auto"/>
        <w:ind w:left="1080"/>
        <w:rPr>
          <w:sz w:val="24"/>
          <w:szCs w:val="24"/>
        </w:rPr>
      </w:pPr>
      <w:r>
        <w:rPr>
          <w:sz w:val="24"/>
          <w:szCs w:val="24"/>
        </w:rPr>
        <w:t>Pro – the final payment allows for correcting any potential overpayments;</w:t>
      </w:r>
    </w:p>
    <w:p w:rsidR="00650FFA" w:rsidRDefault="00650FFA" w:rsidP="00650FFA">
      <w:pPr>
        <w:pStyle w:val="ListParagraph"/>
        <w:numPr>
          <w:ilvl w:val="0"/>
          <w:numId w:val="3"/>
        </w:numPr>
        <w:spacing w:after="0" w:line="240" w:lineRule="auto"/>
        <w:ind w:left="1080"/>
        <w:rPr>
          <w:sz w:val="24"/>
          <w:szCs w:val="24"/>
        </w:rPr>
      </w:pPr>
      <w:r>
        <w:rPr>
          <w:sz w:val="24"/>
          <w:szCs w:val="24"/>
        </w:rPr>
        <w:t xml:space="preserve">Con – all Tribes, even those with approved FY 2014 </w:t>
      </w:r>
      <w:r w:rsidR="00A05201">
        <w:rPr>
          <w:sz w:val="24"/>
          <w:szCs w:val="24"/>
        </w:rPr>
        <w:t xml:space="preserve">IDC </w:t>
      </w:r>
      <w:r>
        <w:rPr>
          <w:sz w:val="24"/>
          <w:szCs w:val="24"/>
        </w:rPr>
        <w:t>rates and little risk of overpayment, have funding withheld from payment;</w:t>
      </w:r>
    </w:p>
    <w:p w:rsidR="00650FFA" w:rsidRPr="00650FFA" w:rsidRDefault="00650FFA" w:rsidP="00650FFA">
      <w:pPr>
        <w:pStyle w:val="ListParagraph"/>
        <w:numPr>
          <w:ilvl w:val="0"/>
          <w:numId w:val="3"/>
        </w:numPr>
        <w:spacing w:after="0" w:line="240" w:lineRule="auto"/>
        <w:ind w:left="1080"/>
        <w:rPr>
          <w:sz w:val="24"/>
          <w:szCs w:val="24"/>
        </w:rPr>
      </w:pPr>
      <w:r>
        <w:rPr>
          <w:sz w:val="24"/>
          <w:szCs w:val="24"/>
        </w:rPr>
        <w:t xml:space="preserve">Con – more administrative burden </w:t>
      </w:r>
      <w:r w:rsidR="002F2BE5">
        <w:rPr>
          <w:sz w:val="24"/>
          <w:szCs w:val="24"/>
        </w:rPr>
        <w:t xml:space="preserve">for IHS </w:t>
      </w:r>
      <w:r>
        <w:rPr>
          <w:sz w:val="24"/>
          <w:szCs w:val="24"/>
        </w:rPr>
        <w:t>than a single payment.</w:t>
      </w:r>
    </w:p>
    <w:p w:rsidR="00650FFA" w:rsidRDefault="00650FFA" w:rsidP="000A6255">
      <w:pPr>
        <w:spacing w:after="0" w:line="240" w:lineRule="auto"/>
        <w:rPr>
          <w:sz w:val="24"/>
          <w:szCs w:val="24"/>
        </w:rPr>
      </w:pPr>
    </w:p>
    <w:p w:rsidR="00650FFA" w:rsidRPr="00650FFA" w:rsidRDefault="00650FFA" w:rsidP="00650FFA">
      <w:pPr>
        <w:spacing w:after="0" w:line="240" w:lineRule="auto"/>
        <w:rPr>
          <w:b/>
          <w:sz w:val="24"/>
          <w:szCs w:val="24"/>
          <w:u w:val="single"/>
        </w:rPr>
      </w:pPr>
      <w:r>
        <w:rPr>
          <w:b/>
          <w:sz w:val="24"/>
          <w:szCs w:val="24"/>
          <w:u w:val="single"/>
        </w:rPr>
        <w:t xml:space="preserve">Option </w:t>
      </w:r>
      <w:r w:rsidR="00F165E5">
        <w:rPr>
          <w:b/>
          <w:sz w:val="24"/>
          <w:szCs w:val="24"/>
          <w:u w:val="single"/>
        </w:rPr>
        <w:t>3</w:t>
      </w:r>
    </w:p>
    <w:p w:rsidR="00650FFA" w:rsidRDefault="00650FFA" w:rsidP="00650FFA">
      <w:pPr>
        <w:pStyle w:val="ListParagraph"/>
        <w:numPr>
          <w:ilvl w:val="0"/>
          <w:numId w:val="2"/>
        </w:numPr>
        <w:spacing w:after="0" w:line="240" w:lineRule="auto"/>
        <w:rPr>
          <w:sz w:val="24"/>
          <w:szCs w:val="24"/>
        </w:rPr>
      </w:pPr>
      <w:r w:rsidRPr="00650FFA">
        <w:rPr>
          <w:sz w:val="24"/>
          <w:szCs w:val="24"/>
        </w:rPr>
        <w:t xml:space="preserve">Hold back some percentage of the CSC increase </w:t>
      </w:r>
      <w:r w:rsidR="002F2BE5">
        <w:rPr>
          <w:sz w:val="24"/>
          <w:szCs w:val="24"/>
        </w:rPr>
        <w:t xml:space="preserve">(5%) </w:t>
      </w:r>
      <w:r w:rsidRPr="00650FFA">
        <w:rPr>
          <w:b/>
          <w:i/>
          <w:sz w:val="24"/>
          <w:szCs w:val="24"/>
        </w:rPr>
        <w:t xml:space="preserve">from only those Tribes without </w:t>
      </w:r>
      <w:r w:rsidR="00A05201">
        <w:rPr>
          <w:b/>
          <w:i/>
          <w:sz w:val="24"/>
          <w:szCs w:val="24"/>
        </w:rPr>
        <w:t>approved</w:t>
      </w:r>
      <w:r w:rsidRPr="00650FFA">
        <w:rPr>
          <w:b/>
          <w:i/>
          <w:sz w:val="24"/>
          <w:szCs w:val="24"/>
        </w:rPr>
        <w:t xml:space="preserve"> IDC agreements (either</w:t>
      </w:r>
      <w:r w:rsidR="005D0524">
        <w:rPr>
          <w:b/>
          <w:i/>
          <w:sz w:val="24"/>
          <w:szCs w:val="24"/>
        </w:rPr>
        <w:t xml:space="preserve"> IDC</w:t>
      </w:r>
      <w:r w:rsidRPr="00650FFA">
        <w:rPr>
          <w:b/>
          <w:i/>
          <w:sz w:val="24"/>
          <w:szCs w:val="24"/>
        </w:rPr>
        <w:t xml:space="preserve"> rate or lump-sum)</w:t>
      </w:r>
      <w:r>
        <w:rPr>
          <w:sz w:val="24"/>
          <w:szCs w:val="24"/>
        </w:rPr>
        <w:t>;</w:t>
      </w:r>
    </w:p>
    <w:p w:rsidR="00650FFA" w:rsidRDefault="00650FFA" w:rsidP="00650FFA">
      <w:pPr>
        <w:pStyle w:val="ListParagraph"/>
        <w:numPr>
          <w:ilvl w:val="0"/>
          <w:numId w:val="2"/>
        </w:numPr>
        <w:spacing w:after="0" w:line="240" w:lineRule="auto"/>
        <w:rPr>
          <w:sz w:val="24"/>
          <w:szCs w:val="24"/>
        </w:rPr>
      </w:pPr>
      <w:r>
        <w:rPr>
          <w:sz w:val="24"/>
          <w:szCs w:val="24"/>
        </w:rPr>
        <w:t xml:space="preserve">Pay the balance </w:t>
      </w:r>
      <w:r w:rsidR="002F2BE5">
        <w:rPr>
          <w:sz w:val="24"/>
          <w:szCs w:val="24"/>
        </w:rPr>
        <w:t xml:space="preserve">of CSC increases (95%) </w:t>
      </w:r>
      <w:r>
        <w:rPr>
          <w:sz w:val="24"/>
          <w:szCs w:val="24"/>
        </w:rPr>
        <w:t>as soon as possible;</w:t>
      </w:r>
    </w:p>
    <w:p w:rsidR="00650FFA" w:rsidRDefault="00650FFA" w:rsidP="00650FFA">
      <w:pPr>
        <w:pStyle w:val="ListParagraph"/>
        <w:numPr>
          <w:ilvl w:val="0"/>
          <w:numId w:val="2"/>
        </w:numPr>
        <w:spacing w:after="0" w:line="240" w:lineRule="auto"/>
        <w:rPr>
          <w:sz w:val="24"/>
          <w:szCs w:val="24"/>
        </w:rPr>
      </w:pPr>
      <w:r>
        <w:rPr>
          <w:sz w:val="24"/>
          <w:szCs w:val="24"/>
        </w:rPr>
        <w:t>Make final payment on a final reconciliation to occur the last quarter of FY 2014.</w:t>
      </w:r>
    </w:p>
    <w:p w:rsidR="00650FFA" w:rsidRDefault="00650FFA" w:rsidP="00650FFA">
      <w:pPr>
        <w:spacing w:after="0" w:line="240" w:lineRule="auto"/>
        <w:rPr>
          <w:sz w:val="24"/>
          <w:szCs w:val="24"/>
        </w:rPr>
      </w:pPr>
    </w:p>
    <w:p w:rsidR="00650FFA" w:rsidRPr="00650FFA" w:rsidRDefault="005D0524" w:rsidP="00650FFA">
      <w:pPr>
        <w:spacing w:after="0" w:line="240" w:lineRule="auto"/>
        <w:ind w:left="360"/>
        <w:rPr>
          <w:b/>
          <w:sz w:val="24"/>
          <w:szCs w:val="24"/>
          <w:u w:val="single"/>
        </w:rPr>
      </w:pPr>
      <w:r>
        <w:rPr>
          <w:b/>
          <w:sz w:val="24"/>
          <w:szCs w:val="24"/>
          <w:u w:val="single"/>
        </w:rPr>
        <w:t xml:space="preserve">Pros/Cons for Option </w:t>
      </w:r>
      <w:r w:rsidR="00F165E5">
        <w:rPr>
          <w:b/>
          <w:sz w:val="24"/>
          <w:szCs w:val="24"/>
          <w:u w:val="single"/>
        </w:rPr>
        <w:t>3</w:t>
      </w:r>
    </w:p>
    <w:p w:rsidR="00650FFA" w:rsidRDefault="00650FFA" w:rsidP="00650FFA">
      <w:pPr>
        <w:pStyle w:val="ListParagraph"/>
        <w:numPr>
          <w:ilvl w:val="0"/>
          <w:numId w:val="3"/>
        </w:numPr>
        <w:spacing w:after="0" w:line="240" w:lineRule="auto"/>
        <w:ind w:left="1080"/>
        <w:rPr>
          <w:sz w:val="24"/>
          <w:szCs w:val="24"/>
        </w:rPr>
      </w:pPr>
      <w:r>
        <w:rPr>
          <w:sz w:val="24"/>
          <w:szCs w:val="24"/>
        </w:rPr>
        <w:t xml:space="preserve">Pro – most of the CSC funding </w:t>
      </w:r>
      <w:r w:rsidR="002F2BE5">
        <w:rPr>
          <w:sz w:val="24"/>
          <w:szCs w:val="24"/>
        </w:rPr>
        <w:t>increases (more than 95%) get</w:t>
      </w:r>
      <w:r>
        <w:rPr>
          <w:sz w:val="24"/>
          <w:szCs w:val="24"/>
        </w:rPr>
        <w:t xml:space="preserve"> distributed right away;</w:t>
      </w:r>
    </w:p>
    <w:p w:rsidR="00650FFA" w:rsidRDefault="00650FFA" w:rsidP="00650FFA">
      <w:pPr>
        <w:pStyle w:val="ListParagraph"/>
        <w:numPr>
          <w:ilvl w:val="0"/>
          <w:numId w:val="3"/>
        </w:numPr>
        <w:spacing w:after="0" w:line="240" w:lineRule="auto"/>
        <w:ind w:left="1080"/>
        <w:rPr>
          <w:sz w:val="24"/>
          <w:szCs w:val="24"/>
        </w:rPr>
      </w:pPr>
      <w:r>
        <w:rPr>
          <w:sz w:val="24"/>
          <w:szCs w:val="24"/>
        </w:rPr>
        <w:t>Pro – the final payment allows for correcting any potential overpayments;</w:t>
      </w:r>
    </w:p>
    <w:p w:rsidR="00650FFA" w:rsidRDefault="00650FFA" w:rsidP="00650FFA">
      <w:pPr>
        <w:pStyle w:val="ListParagraph"/>
        <w:numPr>
          <w:ilvl w:val="0"/>
          <w:numId w:val="3"/>
        </w:numPr>
        <w:spacing w:after="0" w:line="240" w:lineRule="auto"/>
        <w:ind w:left="1080"/>
        <w:rPr>
          <w:sz w:val="24"/>
          <w:szCs w:val="24"/>
        </w:rPr>
      </w:pPr>
      <w:r>
        <w:rPr>
          <w:sz w:val="24"/>
          <w:szCs w:val="24"/>
        </w:rPr>
        <w:t>Pro – only those Tribes at risk for overpayment have a small amount of funding withheld;</w:t>
      </w:r>
    </w:p>
    <w:p w:rsidR="00650FFA" w:rsidRPr="00650FFA" w:rsidRDefault="00650FFA" w:rsidP="00650FFA">
      <w:pPr>
        <w:pStyle w:val="ListParagraph"/>
        <w:numPr>
          <w:ilvl w:val="0"/>
          <w:numId w:val="3"/>
        </w:numPr>
        <w:spacing w:after="0" w:line="240" w:lineRule="auto"/>
        <w:ind w:left="1080"/>
        <w:rPr>
          <w:sz w:val="24"/>
          <w:szCs w:val="24"/>
        </w:rPr>
      </w:pPr>
      <w:r>
        <w:rPr>
          <w:sz w:val="24"/>
          <w:szCs w:val="24"/>
        </w:rPr>
        <w:t>Con – more administrative burden than Option 1.</w:t>
      </w:r>
    </w:p>
    <w:p w:rsidR="00650FFA" w:rsidRPr="00650FFA" w:rsidRDefault="00650FFA" w:rsidP="000A6255">
      <w:pPr>
        <w:spacing w:after="0" w:line="240" w:lineRule="auto"/>
        <w:rPr>
          <w:sz w:val="24"/>
          <w:szCs w:val="24"/>
        </w:rPr>
      </w:pPr>
    </w:p>
    <w:p w:rsidR="00650FFA" w:rsidRPr="00650FFA" w:rsidRDefault="00650FFA" w:rsidP="00650FFA">
      <w:pPr>
        <w:spacing w:after="0" w:line="240" w:lineRule="auto"/>
        <w:rPr>
          <w:b/>
          <w:sz w:val="24"/>
          <w:szCs w:val="24"/>
          <w:u w:val="single"/>
        </w:rPr>
      </w:pPr>
      <w:r>
        <w:rPr>
          <w:b/>
          <w:sz w:val="24"/>
          <w:szCs w:val="24"/>
          <w:u w:val="single"/>
        </w:rPr>
        <w:t xml:space="preserve">Option </w:t>
      </w:r>
      <w:r w:rsidR="00F165E5">
        <w:rPr>
          <w:b/>
          <w:sz w:val="24"/>
          <w:szCs w:val="24"/>
          <w:u w:val="single"/>
        </w:rPr>
        <w:t>4</w:t>
      </w:r>
    </w:p>
    <w:p w:rsidR="00650FFA" w:rsidRDefault="005D0524" w:rsidP="00650FFA">
      <w:pPr>
        <w:pStyle w:val="ListParagraph"/>
        <w:numPr>
          <w:ilvl w:val="0"/>
          <w:numId w:val="2"/>
        </w:numPr>
        <w:spacing w:after="0" w:line="240" w:lineRule="auto"/>
        <w:rPr>
          <w:sz w:val="24"/>
          <w:szCs w:val="24"/>
        </w:rPr>
      </w:pPr>
      <w:r>
        <w:rPr>
          <w:sz w:val="24"/>
          <w:szCs w:val="24"/>
        </w:rPr>
        <w:t>Hold no CSC funding back; make full payment in the last quarter of FY 2014.</w:t>
      </w:r>
    </w:p>
    <w:p w:rsidR="00650FFA" w:rsidRDefault="00650FFA" w:rsidP="00650FFA">
      <w:pPr>
        <w:spacing w:after="0" w:line="240" w:lineRule="auto"/>
        <w:rPr>
          <w:sz w:val="24"/>
          <w:szCs w:val="24"/>
        </w:rPr>
      </w:pPr>
    </w:p>
    <w:p w:rsidR="00650FFA" w:rsidRPr="00650FFA" w:rsidRDefault="005D0524" w:rsidP="00650FFA">
      <w:pPr>
        <w:spacing w:after="0" w:line="240" w:lineRule="auto"/>
        <w:ind w:left="360"/>
        <w:rPr>
          <w:b/>
          <w:sz w:val="24"/>
          <w:szCs w:val="24"/>
          <w:u w:val="single"/>
        </w:rPr>
      </w:pPr>
      <w:r>
        <w:rPr>
          <w:b/>
          <w:sz w:val="24"/>
          <w:szCs w:val="24"/>
          <w:u w:val="single"/>
        </w:rPr>
        <w:t xml:space="preserve">Pros/Cons for Option </w:t>
      </w:r>
      <w:r w:rsidR="00F165E5">
        <w:rPr>
          <w:b/>
          <w:sz w:val="24"/>
          <w:szCs w:val="24"/>
          <w:u w:val="single"/>
        </w:rPr>
        <w:t>4</w:t>
      </w:r>
    </w:p>
    <w:p w:rsidR="00650FFA" w:rsidRDefault="00650FFA" w:rsidP="00650FFA">
      <w:pPr>
        <w:pStyle w:val="ListParagraph"/>
        <w:numPr>
          <w:ilvl w:val="0"/>
          <w:numId w:val="3"/>
        </w:numPr>
        <w:spacing w:after="0" w:line="240" w:lineRule="auto"/>
        <w:ind w:left="1080"/>
        <w:rPr>
          <w:sz w:val="24"/>
          <w:szCs w:val="24"/>
        </w:rPr>
      </w:pPr>
      <w:r>
        <w:rPr>
          <w:sz w:val="24"/>
          <w:szCs w:val="24"/>
        </w:rPr>
        <w:t xml:space="preserve">Pro – </w:t>
      </w:r>
      <w:r w:rsidR="005D0524">
        <w:rPr>
          <w:sz w:val="24"/>
          <w:szCs w:val="24"/>
        </w:rPr>
        <w:t>allows time for most accurate data and lowering risk of overpayment;</w:t>
      </w:r>
    </w:p>
    <w:p w:rsidR="00650FFA" w:rsidRDefault="005D0524" w:rsidP="00650FFA">
      <w:pPr>
        <w:pStyle w:val="ListParagraph"/>
        <w:numPr>
          <w:ilvl w:val="0"/>
          <w:numId w:val="3"/>
        </w:numPr>
        <w:spacing w:after="0" w:line="240" w:lineRule="auto"/>
        <w:ind w:left="1080"/>
        <w:rPr>
          <w:sz w:val="24"/>
          <w:szCs w:val="24"/>
        </w:rPr>
      </w:pPr>
      <w:r>
        <w:rPr>
          <w:sz w:val="24"/>
          <w:szCs w:val="24"/>
        </w:rPr>
        <w:t>Pro – less administrative burden, because only one CSC payment is made;</w:t>
      </w:r>
    </w:p>
    <w:p w:rsidR="005D0524" w:rsidRDefault="005D0524" w:rsidP="00650FFA">
      <w:pPr>
        <w:pStyle w:val="ListParagraph"/>
        <w:numPr>
          <w:ilvl w:val="0"/>
          <w:numId w:val="3"/>
        </w:numPr>
        <w:spacing w:after="0" w:line="240" w:lineRule="auto"/>
        <w:ind w:left="1080"/>
        <w:rPr>
          <w:sz w:val="24"/>
          <w:szCs w:val="24"/>
        </w:rPr>
      </w:pPr>
      <w:r>
        <w:rPr>
          <w:sz w:val="24"/>
          <w:szCs w:val="24"/>
        </w:rPr>
        <w:t>Con – causes delay in distributing CSC funding, which has been unacceptable to Tribes.</w:t>
      </w:r>
    </w:p>
    <w:p w:rsidR="009D4027" w:rsidRDefault="009D4027" w:rsidP="009D4027">
      <w:pPr>
        <w:spacing w:after="0" w:line="240" w:lineRule="auto"/>
        <w:rPr>
          <w:sz w:val="24"/>
          <w:szCs w:val="24"/>
        </w:rPr>
      </w:pPr>
    </w:p>
    <w:p w:rsidR="009D4027" w:rsidRPr="009D4027" w:rsidRDefault="009D4027" w:rsidP="00F21E7B">
      <w:pPr>
        <w:spacing w:after="0" w:line="240" w:lineRule="auto"/>
        <w:ind w:left="720"/>
        <w:rPr>
          <w:sz w:val="24"/>
          <w:szCs w:val="24"/>
        </w:rPr>
      </w:pPr>
    </w:p>
    <w:sectPr w:rsidR="009D4027" w:rsidRPr="009D40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127B1"/>
    <w:multiLevelType w:val="hybridMultilevel"/>
    <w:tmpl w:val="B224A24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3C997B09"/>
    <w:multiLevelType w:val="hybridMultilevel"/>
    <w:tmpl w:val="BD445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4E97D2C"/>
    <w:multiLevelType w:val="hybridMultilevel"/>
    <w:tmpl w:val="CF40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259"/>
    <w:rsid w:val="00003DCB"/>
    <w:rsid w:val="00014D31"/>
    <w:rsid w:val="000158BE"/>
    <w:rsid w:val="00015EAC"/>
    <w:rsid w:val="000230C9"/>
    <w:rsid w:val="000318F3"/>
    <w:rsid w:val="00040A8F"/>
    <w:rsid w:val="00056F78"/>
    <w:rsid w:val="000573D5"/>
    <w:rsid w:val="00057CF7"/>
    <w:rsid w:val="00072318"/>
    <w:rsid w:val="00072DC5"/>
    <w:rsid w:val="0007307C"/>
    <w:rsid w:val="000916E6"/>
    <w:rsid w:val="00091F36"/>
    <w:rsid w:val="0009335D"/>
    <w:rsid w:val="00094EB0"/>
    <w:rsid w:val="000A0B06"/>
    <w:rsid w:val="000A2E74"/>
    <w:rsid w:val="000A44E3"/>
    <w:rsid w:val="000A61DA"/>
    <w:rsid w:val="000A6255"/>
    <w:rsid w:val="000B03B3"/>
    <w:rsid w:val="000B1072"/>
    <w:rsid w:val="000B12C2"/>
    <w:rsid w:val="000C3362"/>
    <w:rsid w:val="000D1901"/>
    <w:rsid w:val="000D5097"/>
    <w:rsid w:val="000E0A5F"/>
    <w:rsid w:val="000E3E06"/>
    <w:rsid w:val="000E61B2"/>
    <w:rsid w:val="000F0525"/>
    <w:rsid w:val="0010033A"/>
    <w:rsid w:val="001060FD"/>
    <w:rsid w:val="00106569"/>
    <w:rsid w:val="00110D43"/>
    <w:rsid w:val="001218BE"/>
    <w:rsid w:val="00122DFD"/>
    <w:rsid w:val="00124D7D"/>
    <w:rsid w:val="0012588D"/>
    <w:rsid w:val="00126775"/>
    <w:rsid w:val="001268B4"/>
    <w:rsid w:val="00130337"/>
    <w:rsid w:val="00130A28"/>
    <w:rsid w:val="001315B3"/>
    <w:rsid w:val="00134E77"/>
    <w:rsid w:val="00145C47"/>
    <w:rsid w:val="0014720F"/>
    <w:rsid w:val="00147C19"/>
    <w:rsid w:val="00150592"/>
    <w:rsid w:val="001571A8"/>
    <w:rsid w:val="001573A0"/>
    <w:rsid w:val="00157803"/>
    <w:rsid w:val="00170DD7"/>
    <w:rsid w:val="00172558"/>
    <w:rsid w:val="00174B5A"/>
    <w:rsid w:val="00174F82"/>
    <w:rsid w:val="001800E7"/>
    <w:rsid w:val="00180FB1"/>
    <w:rsid w:val="0018122E"/>
    <w:rsid w:val="00182BF1"/>
    <w:rsid w:val="0018566A"/>
    <w:rsid w:val="00187BB7"/>
    <w:rsid w:val="00191CC3"/>
    <w:rsid w:val="0019219B"/>
    <w:rsid w:val="0019354B"/>
    <w:rsid w:val="00194CF5"/>
    <w:rsid w:val="00195E43"/>
    <w:rsid w:val="00197C39"/>
    <w:rsid w:val="001A21CD"/>
    <w:rsid w:val="001A5C41"/>
    <w:rsid w:val="001D0581"/>
    <w:rsid w:val="001D30B6"/>
    <w:rsid w:val="001D5D1C"/>
    <w:rsid w:val="001F1838"/>
    <w:rsid w:val="001F7BAB"/>
    <w:rsid w:val="00214409"/>
    <w:rsid w:val="00214BC1"/>
    <w:rsid w:val="00215EB1"/>
    <w:rsid w:val="00226E3D"/>
    <w:rsid w:val="002424E6"/>
    <w:rsid w:val="00242C17"/>
    <w:rsid w:val="00245EDD"/>
    <w:rsid w:val="002470F3"/>
    <w:rsid w:val="002550B0"/>
    <w:rsid w:val="00255542"/>
    <w:rsid w:val="002569E1"/>
    <w:rsid w:val="00260ED7"/>
    <w:rsid w:val="00272D8D"/>
    <w:rsid w:val="00273AD1"/>
    <w:rsid w:val="0027418C"/>
    <w:rsid w:val="0028054A"/>
    <w:rsid w:val="002824A4"/>
    <w:rsid w:val="00282985"/>
    <w:rsid w:val="002863B8"/>
    <w:rsid w:val="002869D2"/>
    <w:rsid w:val="002875C8"/>
    <w:rsid w:val="00290626"/>
    <w:rsid w:val="002906B8"/>
    <w:rsid w:val="00290B4E"/>
    <w:rsid w:val="002A3156"/>
    <w:rsid w:val="002B37CE"/>
    <w:rsid w:val="002B4361"/>
    <w:rsid w:val="002B4A1E"/>
    <w:rsid w:val="002B67AB"/>
    <w:rsid w:val="002D246A"/>
    <w:rsid w:val="002D36C1"/>
    <w:rsid w:val="002E0021"/>
    <w:rsid w:val="002E1114"/>
    <w:rsid w:val="002E1593"/>
    <w:rsid w:val="002E2B86"/>
    <w:rsid w:val="002E526D"/>
    <w:rsid w:val="002F2BE5"/>
    <w:rsid w:val="003030F7"/>
    <w:rsid w:val="003067A6"/>
    <w:rsid w:val="00310F1A"/>
    <w:rsid w:val="003125E9"/>
    <w:rsid w:val="003216E5"/>
    <w:rsid w:val="00326C81"/>
    <w:rsid w:val="00326DA1"/>
    <w:rsid w:val="00330D01"/>
    <w:rsid w:val="00344BE4"/>
    <w:rsid w:val="00354BDD"/>
    <w:rsid w:val="00357E6E"/>
    <w:rsid w:val="00362093"/>
    <w:rsid w:val="00375368"/>
    <w:rsid w:val="00377430"/>
    <w:rsid w:val="00381C47"/>
    <w:rsid w:val="00383FE3"/>
    <w:rsid w:val="00384B61"/>
    <w:rsid w:val="00387194"/>
    <w:rsid w:val="00391259"/>
    <w:rsid w:val="003917D9"/>
    <w:rsid w:val="003A6063"/>
    <w:rsid w:val="003A7886"/>
    <w:rsid w:val="003B643A"/>
    <w:rsid w:val="003B7D3B"/>
    <w:rsid w:val="003C2821"/>
    <w:rsid w:val="003D7947"/>
    <w:rsid w:val="003E7DAD"/>
    <w:rsid w:val="003F1FF8"/>
    <w:rsid w:val="003F751D"/>
    <w:rsid w:val="00401A31"/>
    <w:rsid w:val="00414629"/>
    <w:rsid w:val="00420EA7"/>
    <w:rsid w:val="00421142"/>
    <w:rsid w:val="004225F4"/>
    <w:rsid w:val="00425CB1"/>
    <w:rsid w:val="00426176"/>
    <w:rsid w:val="00430B96"/>
    <w:rsid w:val="0043385E"/>
    <w:rsid w:val="00445224"/>
    <w:rsid w:val="00452426"/>
    <w:rsid w:val="00452678"/>
    <w:rsid w:val="00460F74"/>
    <w:rsid w:val="0047329C"/>
    <w:rsid w:val="00475F61"/>
    <w:rsid w:val="00477C21"/>
    <w:rsid w:val="00480498"/>
    <w:rsid w:val="00483162"/>
    <w:rsid w:val="004875BD"/>
    <w:rsid w:val="004A1FAE"/>
    <w:rsid w:val="004A3648"/>
    <w:rsid w:val="004B0249"/>
    <w:rsid w:val="004B26B5"/>
    <w:rsid w:val="004B375E"/>
    <w:rsid w:val="004B54BB"/>
    <w:rsid w:val="004C0E9A"/>
    <w:rsid w:val="004C213F"/>
    <w:rsid w:val="004C3827"/>
    <w:rsid w:val="004C44B0"/>
    <w:rsid w:val="004C6B53"/>
    <w:rsid w:val="004D2CB8"/>
    <w:rsid w:val="004E1AF7"/>
    <w:rsid w:val="004F3186"/>
    <w:rsid w:val="00502DEB"/>
    <w:rsid w:val="0050308A"/>
    <w:rsid w:val="0050379F"/>
    <w:rsid w:val="005057BA"/>
    <w:rsid w:val="00506B0F"/>
    <w:rsid w:val="005226B9"/>
    <w:rsid w:val="005226EC"/>
    <w:rsid w:val="00522A41"/>
    <w:rsid w:val="005247E2"/>
    <w:rsid w:val="00531249"/>
    <w:rsid w:val="00531A87"/>
    <w:rsid w:val="005324DF"/>
    <w:rsid w:val="005338D9"/>
    <w:rsid w:val="00534012"/>
    <w:rsid w:val="005374C7"/>
    <w:rsid w:val="00542F6A"/>
    <w:rsid w:val="00544CD1"/>
    <w:rsid w:val="00550F36"/>
    <w:rsid w:val="0055149D"/>
    <w:rsid w:val="00554200"/>
    <w:rsid w:val="0055661C"/>
    <w:rsid w:val="00557C9A"/>
    <w:rsid w:val="00560377"/>
    <w:rsid w:val="00565112"/>
    <w:rsid w:val="005754B5"/>
    <w:rsid w:val="0059251D"/>
    <w:rsid w:val="005942BD"/>
    <w:rsid w:val="005A519C"/>
    <w:rsid w:val="005B6297"/>
    <w:rsid w:val="005C278A"/>
    <w:rsid w:val="005C5D59"/>
    <w:rsid w:val="005D0524"/>
    <w:rsid w:val="005D73D4"/>
    <w:rsid w:val="005E5A80"/>
    <w:rsid w:val="005E76E3"/>
    <w:rsid w:val="006021C4"/>
    <w:rsid w:val="00604988"/>
    <w:rsid w:val="00605641"/>
    <w:rsid w:val="00605B08"/>
    <w:rsid w:val="0060679D"/>
    <w:rsid w:val="00606DCD"/>
    <w:rsid w:val="00607741"/>
    <w:rsid w:val="0061544E"/>
    <w:rsid w:val="00616E78"/>
    <w:rsid w:val="006176F5"/>
    <w:rsid w:val="00623F00"/>
    <w:rsid w:val="00633CF5"/>
    <w:rsid w:val="00635FB0"/>
    <w:rsid w:val="00636E1E"/>
    <w:rsid w:val="0063732F"/>
    <w:rsid w:val="00647D60"/>
    <w:rsid w:val="00650FFA"/>
    <w:rsid w:val="00657807"/>
    <w:rsid w:val="00657A89"/>
    <w:rsid w:val="00662BBF"/>
    <w:rsid w:val="0068115E"/>
    <w:rsid w:val="006A0EFC"/>
    <w:rsid w:val="006A1642"/>
    <w:rsid w:val="006A4EF9"/>
    <w:rsid w:val="006A5FDD"/>
    <w:rsid w:val="006B12D8"/>
    <w:rsid w:val="006B7876"/>
    <w:rsid w:val="006C3F6E"/>
    <w:rsid w:val="006D3E64"/>
    <w:rsid w:val="006D50D9"/>
    <w:rsid w:val="006D5B1E"/>
    <w:rsid w:val="006E1B70"/>
    <w:rsid w:val="006E3F64"/>
    <w:rsid w:val="006E52F3"/>
    <w:rsid w:val="006E6531"/>
    <w:rsid w:val="006F1E26"/>
    <w:rsid w:val="006F79F4"/>
    <w:rsid w:val="00701751"/>
    <w:rsid w:val="0071338B"/>
    <w:rsid w:val="0071651E"/>
    <w:rsid w:val="00717142"/>
    <w:rsid w:val="00720071"/>
    <w:rsid w:val="007260C8"/>
    <w:rsid w:val="007264D0"/>
    <w:rsid w:val="00732D48"/>
    <w:rsid w:val="007426E0"/>
    <w:rsid w:val="00745AF6"/>
    <w:rsid w:val="007525ED"/>
    <w:rsid w:val="007532C5"/>
    <w:rsid w:val="007557BF"/>
    <w:rsid w:val="00762246"/>
    <w:rsid w:val="00763FD0"/>
    <w:rsid w:val="00770FDA"/>
    <w:rsid w:val="00771CC8"/>
    <w:rsid w:val="00775FBB"/>
    <w:rsid w:val="0078560C"/>
    <w:rsid w:val="00787549"/>
    <w:rsid w:val="00790AFF"/>
    <w:rsid w:val="007916A0"/>
    <w:rsid w:val="0079394B"/>
    <w:rsid w:val="00795B85"/>
    <w:rsid w:val="007A4BFB"/>
    <w:rsid w:val="007B794C"/>
    <w:rsid w:val="007C16EF"/>
    <w:rsid w:val="007C3172"/>
    <w:rsid w:val="007C3627"/>
    <w:rsid w:val="007D4BFF"/>
    <w:rsid w:val="007E4F17"/>
    <w:rsid w:val="007F1711"/>
    <w:rsid w:val="007F1CC0"/>
    <w:rsid w:val="007F5D1B"/>
    <w:rsid w:val="00801C55"/>
    <w:rsid w:val="0080209C"/>
    <w:rsid w:val="00804943"/>
    <w:rsid w:val="008114B0"/>
    <w:rsid w:val="008140AB"/>
    <w:rsid w:val="00815BA3"/>
    <w:rsid w:val="00825768"/>
    <w:rsid w:val="00827F61"/>
    <w:rsid w:val="00841F83"/>
    <w:rsid w:val="00842315"/>
    <w:rsid w:val="00845E69"/>
    <w:rsid w:val="00852FC0"/>
    <w:rsid w:val="00854D82"/>
    <w:rsid w:val="00855F4E"/>
    <w:rsid w:val="00861763"/>
    <w:rsid w:val="00862152"/>
    <w:rsid w:val="00863D0E"/>
    <w:rsid w:val="008766A5"/>
    <w:rsid w:val="00890C95"/>
    <w:rsid w:val="008A6B50"/>
    <w:rsid w:val="008A773A"/>
    <w:rsid w:val="008B2A5D"/>
    <w:rsid w:val="008C2194"/>
    <w:rsid w:val="008C4E1D"/>
    <w:rsid w:val="008C7488"/>
    <w:rsid w:val="008C75DC"/>
    <w:rsid w:val="008D2936"/>
    <w:rsid w:val="008E24FA"/>
    <w:rsid w:val="008E6670"/>
    <w:rsid w:val="008E6FC1"/>
    <w:rsid w:val="008F2128"/>
    <w:rsid w:val="00911F16"/>
    <w:rsid w:val="0092235E"/>
    <w:rsid w:val="00940F4C"/>
    <w:rsid w:val="0094167E"/>
    <w:rsid w:val="00941B0B"/>
    <w:rsid w:val="0094312D"/>
    <w:rsid w:val="009449E5"/>
    <w:rsid w:val="00944E1E"/>
    <w:rsid w:val="00944E4F"/>
    <w:rsid w:val="0094664E"/>
    <w:rsid w:val="00950FCD"/>
    <w:rsid w:val="009531C3"/>
    <w:rsid w:val="00955AC8"/>
    <w:rsid w:val="00955DF2"/>
    <w:rsid w:val="00965455"/>
    <w:rsid w:val="00965D87"/>
    <w:rsid w:val="00975300"/>
    <w:rsid w:val="00980573"/>
    <w:rsid w:val="00987879"/>
    <w:rsid w:val="00987C96"/>
    <w:rsid w:val="009928C1"/>
    <w:rsid w:val="009936C4"/>
    <w:rsid w:val="009959D7"/>
    <w:rsid w:val="00997D9C"/>
    <w:rsid w:val="009A56E1"/>
    <w:rsid w:val="009A7185"/>
    <w:rsid w:val="009B0F26"/>
    <w:rsid w:val="009B5779"/>
    <w:rsid w:val="009B745D"/>
    <w:rsid w:val="009C44E3"/>
    <w:rsid w:val="009C4986"/>
    <w:rsid w:val="009C5BAF"/>
    <w:rsid w:val="009C7001"/>
    <w:rsid w:val="009D2034"/>
    <w:rsid w:val="009D4027"/>
    <w:rsid w:val="009D676B"/>
    <w:rsid w:val="009E5BD9"/>
    <w:rsid w:val="00A05201"/>
    <w:rsid w:val="00A07164"/>
    <w:rsid w:val="00A07417"/>
    <w:rsid w:val="00A1005C"/>
    <w:rsid w:val="00A16FF8"/>
    <w:rsid w:val="00A22C2E"/>
    <w:rsid w:val="00A3437C"/>
    <w:rsid w:val="00A40C49"/>
    <w:rsid w:val="00A41001"/>
    <w:rsid w:val="00A42655"/>
    <w:rsid w:val="00A42C88"/>
    <w:rsid w:val="00A47EDC"/>
    <w:rsid w:val="00A513C8"/>
    <w:rsid w:val="00A71CEC"/>
    <w:rsid w:val="00A74378"/>
    <w:rsid w:val="00A83C7B"/>
    <w:rsid w:val="00A90364"/>
    <w:rsid w:val="00A9681D"/>
    <w:rsid w:val="00A97D53"/>
    <w:rsid w:val="00AA3644"/>
    <w:rsid w:val="00AA481A"/>
    <w:rsid w:val="00AA49D2"/>
    <w:rsid w:val="00AA7600"/>
    <w:rsid w:val="00AC2850"/>
    <w:rsid w:val="00AC7D5B"/>
    <w:rsid w:val="00AD07D7"/>
    <w:rsid w:val="00AD4C22"/>
    <w:rsid w:val="00AD77AD"/>
    <w:rsid w:val="00AE2389"/>
    <w:rsid w:val="00AE5824"/>
    <w:rsid w:val="00B14B44"/>
    <w:rsid w:val="00B17B99"/>
    <w:rsid w:val="00B233FA"/>
    <w:rsid w:val="00B267E9"/>
    <w:rsid w:val="00B27F36"/>
    <w:rsid w:val="00B30272"/>
    <w:rsid w:val="00B3077D"/>
    <w:rsid w:val="00B31443"/>
    <w:rsid w:val="00B323BD"/>
    <w:rsid w:val="00B419C2"/>
    <w:rsid w:val="00B42CB9"/>
    <w:rsid w:val="00B614C7"/>
    <w:rsid w:val="00B70645"/>
    <w:rsid w:val="00B721F4"/>
    <w:rsid w:val="00B740B7"/>
    <w:rsid w:val="00B76986"/>
    <w:rsid w:val="00B8206F"/>
    <w:rsid w:val="00B85260"/>
    <w:rsid w:val="00BA28CC"/>
    <w:rsid w:val="00BA2BA9"/>
    <w:rsid w:val="00BA38A3"/>
    <w:rsid w:val="00BA677D"/>
    <w:rsid w:val="00BB24CF"/>
    <w:rsid w:val="00BB29C0"/>
    <w:rsid w:val="00BC59C1"/>
    <w:rsid w:val="00BD1D59"/>
    <w:rsid w:val="00BD6D0A"/>
    <w:rsid w:val="00BE180A"/>
    <w:rsid w:val="00BE3BEC"/>
    <w:rsid w:val="00BE6193"/>
    <w:rsid w:val="00BE6A12"/>
    <w:rsid w:val="00BF1EC4"/>
    <w:rsid w:val="00BF42CB"/>
    <w:rsid w:val="00BF6541"/>
    <w:rsid w:val="00BF7D1C"/>
    <w:rsid w:val="00C03496"/>
    <w:rsid w:val="00C110C7"/>
    <w:rsid w:val="00C20E86"/>
    <w:rsid w:val="00C235F2"/>
    <w:rsid w:val="00C240A3"/>
    <w:rsid w:val="00C26E23"/>
    <w:rsid w:val="00C310B4"/>
    <w:rsid w:val="00C37CC0"/>
    <w:rsid w:val="00C47CD7"/>
    <w:rsid w:val="00C53E5B"/>
    <w:rsid w:val="00C56ECC"/>
    <w:rsid w:val="00C57532"/>
    <w:rsid w:val="00C612D0"/>
    <w:rsid w:val="00C62364"/>
    <w:rsid w:val="00C6497A"/>
    <w:rsid w:val="00C76B19"/>
    <w:rsid w:val="00C849F7"/>
    <w:rsid w:val="00C900D8"/>
    <w:rsid w:val="00C91E70"/>
    <w:rsid w:val="00C960B2"/>
    <w:rsid w:val="00CA3789"/>
    <w:rsid w:val="00CB1CFB"/>
    <w:rsid w:val="00CC12EA"/>
    <w:rsid w:val="00CC1E02"/>
    <w:rsid w:val="00CC28BC"/>
    <w:rsid w:val="00CC4242"/>
    <w:rsid w:val="00CC6D40"/>
    <w:rsid w:val="00CD0DA6"/>
    <w:rsid w:val="00CD6A48"/>
    <w:rsid w:val="00CD7DF3"/>
    <w:rsid w:val="00CE015D"/>
    <w:rsid w:val="00CE0CB8"/>
    <w:rsid w:val="00CE3025"/>
    <w:rsid w:val="00CE7498"/>
    <w:rsid w:val="00CF156E"/>
    <w:rsid w:val="00CF7914"/>
    <w:rsid w:val="00D104DD"/>
    <w:rsid w:val="00D12379"/>
    <w:rsid w:val="00D125CD"/>
    <w:rsid w:val="00D1431F"/>
    <w:rsid w:val="00D2343A"/>
    <w:rsid w:val="00D3214E"/>
    <w:rsid w:val="00D5124B"/>
    <w:rsid w:val="00D52E87"/>
    <w:rsid w:val="00D53FF4"/>
    <w:rsid w:val="00D5711E"/>
    <w:rsid w:val="00D6055A"/>
    <w:rsid w:val="00D61420"/>
    <w:rsid w:val="00D7056E"/>
    <w:rsid w:val="00D72919"/>
    <w:rsid w:val="00D77A77"/>
    <w:rsid w:val="00D814AD"/>
    <w:rsid w:val="00D93410"/>
    <w:rsid w:val="00D93AE0"/>
    <w:rsid w:val="00D972A2"/>
    <w:rsid w:val="00DC140B"/>
    <w:rsid w:val="00DC236A"/>
    <w:rsid w:val="00DC313C"/>
    <w:rsid w:val="00DC5739"/>
    <w:rsid w:val="00DD073E"/>
    <w:rsid w:val="00DD0ED3"/>
    <w:rsid w:val="00DD2AC9"/>
    <w:rsid w:val="00DE2DD6"/>
    <w:rsid w:val="00DE48E8"/>
    <w:rsid w:val="00DE5F9C"/>
    <w:rsid w:val="00DF2C85"/>
    <w:rsid w:val="00DF5CD5"/>
    <w:rsid w:val="00DF7E59"/>
    <w:rsid w:val="00E10FA3"/>
    <w:rsid w:val="00E11105"/>
    <w:rsid w:val="00E13547"/>
    <w:rsid w:val="00E14087"/>
    <w:rsid w:val="00E14864"/>
    <w:rsid w:val="00E167F1"/>
    <w:rsid w:val="00E20EDE"/>
    <w:rsid w:val="00E22B83"/>
    <w:rsid w:val="00E23A52"/>
    <w:rsid w:val="00E25583"/>
    <w:rsid w:val="00E3656F"/>
    <w:rsid w:val="00E44015"/>
    <w:rsid w:val="00E44873"/>
    <w:rsid w:val="00E44E99"/>
    <w:rsid w:val="00E45F42"/>
    <w:rsid w:val="00E5015E"/>
    <w:rsid w:val="00E52160"/>
    <w:rsid w:val="00E55586"/>
    <w:rsid w:val="00E61FAA"/>
    <w:rsid w:val="00E651B1"/>
    <w:rsid w:val="00E676B8"/>
    <w:rsid w:val="00E804A9"/>
    <w:rsid w:val="00E8375E"/>
    <w:rsid w:val="00E902EA"/>
    <w:rsid w:val="00E95753"/>
    <w:rsid w:val="00EA0626"/>
    <w:rsid w:val="00EB19F9"/>
    <w:rsid w:val="00EB44C8"/>
    <w:rsid w:val="00EB6F55"/>
    <w:rsid w:val="00EC2E99"/>
    <w:rsid w:val="00ED2A72"/>
    <w:rsid w:val="00ED669E"/>
    <w:rsid w:val="00ED6EF7"/>
    <w:rsid w:val="00EE2918"/>
    <w:rsid w:val="00EF23C8"/>
    <w:rsid w:val="00EF2648"/>
    <w:rsid w:val="00EF265D"/>
    <w:rsid w:val="00EF5279"/>
    <w:rsid w:val="00F02C9C"/>
    <w:rsid w:val="00F03B9C"/>
    <w:rsid w:val="00F12FC5"/>
    <w:rsid w:val="00F165E5"/>
    <w:rsid w:val="00F1677F"/>
    <w:rsid w:val="00F2166E"/>
    <w:rsid w:val="00F21E7B"/>
    <w:rsid w:val="00F24F59"/>
    <w:rsid w:val="00F376B5"/>
    <w:rsid w:val="00F37E75"/>
    <w:rsid w:val="00F408ED"/>
    <w:rsid w:val="00F40FF7"/>
    <w:rsid w:val="00F504EB"/>
    <w:rsid w:val="00F52317"/>
    <w:rsid w:val="00F56D9A"/>
    <w:rsid w:val="00F6114B"/>
    <w:rsid w:val="00F61A7A"/>
    <w:rsid w:val="00F61BC1"/>
    <w:rsid w:val="00F72E16"/>
    <w:rsid w:val="00F73493"/>
    <w:rsid w:val="00F8644C"/>
    <w:rsid w:val="00F96079"/>
    <w:rsid w:val="00FB08C7"/>
    <w:rsid w:val="00FB1CB0"/>
    <w:rsid w:val="00FB2213"/>
    <w:rsid w:val="00FC05A8"/>
    <w:rsid w:val="00FC1917"/>
    <w:rsid w:val="00FC736C"/>
    <w:rsid w:val="00FD5B40"/>
    <w:rsid w:val="00FD6399"/>
    <w:rsid w:val="00FD6EEB"/>
    <w:rsid w:val="00FE1FEA"/>
    <w:rsid w:val="00FF3460"/>
    <w:rsid w:val="00FF45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F55580-D0CB-430C-BDB3-22D4EDFDB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235E"/>
    <w:pPr>
      <w:ind w:left="720"/>
      <w:contextualSpacing/>
    </w:pPr>
  </w:style>
  <w:style w:type="paragraph" w:styleId="BalloonText">
    <w:name w:val="Balloon Text"/>
    <w:basedOn w:val="Normal"/>
    <w:link w:val="BalloonTextChar"/>
    <w:uiPriority w:val="99"/>
    <w:semiHidden/>
    <w:unhideWhenUsed/>
    <w:rsid w:val="00CE30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3025"/>
    <w:rPr>
      <w:rFonts w:ascii="Tahoma" w:hAnsi="Tahoma" w:cs="Tahoma"/>
      <w:sz w:val="16"/>
      <w:szCs w:val="16"/>
    </w:rPr>
  </w:style>
  <w:style w:type="paragraph" w:styleId="Revision">
    <w:name w:val="Revision"/>
    <w:hidden/>
    <w:uiPriority w:val="99"/>
    <w:semiHidden/>
    <w:rsid w:val="00CE302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563</Words>
  <Characters>3210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dc:creator>
  <cp:lastModifiedBy>Melanie Fourkiller</cp:lastModifiedBy>
  <cp:revision>2</cp:revision>
  <cp:lastPrinted>2014-03-12T19:05:00Z</cp:lastPrinted>
  <dcterms:created xsi:type="dcterms:W3CDTF">2014-03-24T16:23:00Z</dcterms:created>
  <dcterms:modified xsi:type="dcterms:W3CDTF">2014-03-24T16:23:00Z</dcterms:modified>
</cp:coreProperties>
</file>