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0DF" w:rsidRDefault="00266114">
      <w:pPr>
        <w:jc w:val="center"/>
        <w:rPr>
          <w:rFonts w:ascii="Times New Roman" w:hAnsi="Times New Roman"/>
          <w:sz w:val="24"/>
        </w:rPr>
      </w:pPr>
      <w:bookmarkStart w:id="0" w:name="_GoBack"/>
      <w:bookmarkEnd w:id="0"/>
      <w:r>
        <w:rPr>
          <w:rFonts w:ascii="Times New Roman" w:hAnsi="Times New Roman"/>
          <w:sz w:val="24"/>
        </w:rPr>
        <w:t>[DATE, 2016]</w:t>
      </w:r>
    </w:p>
    <w:p w:rsidR="005810DF" w:rsidRDefault="00266114">
      <w:pPr>
        <w:jc w:val="center"/>
        <w:rPr>
          <w:rFonts w:ascii="Times New Roman" w:hAnsi="Times New Roman"/>
          <w:sz w:val="24"/>
        </w:rPr>
      </w:pPr>
    </w:p>
    <w:p w:rsidR="005810DF" w:rsidRDefault="00266114">
      <w:pPr>
        <w:jc w:val="center"/>
        <w:rPr>
          <w:rFonts w:ascii="Times New Roman" w:hAnsi="Times New Roman"/>
          <w:b/>
          <w:bCs/>
          <w:sz w:val="24"/>
        </w:rPr>
      </w:pPr>
      <w:r>
        <w:rPr>
          <w:rFonts w:ascii="Times New Roman" w:hAnsi="Times New Roman"/>
          <w:b/>
          <w:bCs/>
          <w:sz w:val="24"/>
        </w:rPr>
        <w:t>VIA E-MAIL</w:t>
      </w:r>
    </w:p>
    <w:p w:rsidR="005810DF" w:rsidRDefault="00266114">
      <w:pPr>
        <w:jc w:val="center"/>
        <w:rPr>
          <w:rFonts w:ascii="Times New Roman" w:hAnsi="Times New Roman"/>
          <w:sz w:val="24"/>
        </w:rPr>
      </w:pPr>
      <w:r>
        <w:rPr>
          <w:rFonts w:ascii="Times New Roman" w:hAnsi="Times New Roman"/>
          <w:sz w:val="24"/>
        </w:rPr>
        <w:t>consultation@ihs.gov</w:t>
      </w:r>
    </w:p>
    <w:p w:rsidR="005810DF" w:rsidRDefault="00266114">
      <w:pPr>
        <w:rPr>
          <w:rFonts w:ascii="Times New Roman" w:hAnsi="Times New Roman"/>
          <w:sz w:val="24"/>
        </w:rPr>
      </w:pPr>
    </w:p>
    <w:p w:rsidR="005810DF" w:rsidRDefault="00266114">
      <w:pPr>
        <w:rPr>
          <w:rFonts w:ascii="Times New Roman" w:hAnsi="Times New Roman"/>
          <w:sz w:val="24"/>
        </w:rPr>
      </w:pPr>
    </w:p>
    <w:p w:rsidR="005810DF" w:rsidRDefault="00266114">
      <w:pPr>
        <w:rPr>
          <w:rFonts w:ascii="Times New Roman" w:hAnsi="Times New Roman"/>
          <w:sz w:val="24"/>
        </w:rPr>
      </w:pPr>
      <w:r>
        <w:rPr>
          <w:rFonts w:ascii="Times New Roman" w:hAnsi="Times New Roman"/>
          <w:sz w:val="24"/>
        </w:rPr>
        <w:t>Mary Smith, Principal Deputy Director</w:t>
      </w:r>
    </w:p>
    <w:p w:rsidR="005810DF" w:rsidRDefault="00266114">
      <w:pPr>
        <w:rPr>
          <w:rFonts w:ascii="Times New Roman" w:hAnsi="Times New Roman"/>
          <w:sz w:val="24"/>
        </w:rPr>
      </w:pPr>
      <w:r>
        <w:rPr>
          <w:rFonts w:ascii="Times New Roman" w:hAnsi="Times New Roman"/>
          <w:sz w:val="24"/>
        </w:rPr>
        <w:t>Indian Health Service</w:t>
      </w:r>
    </w:p>
    <w:p w:rsidR="005810DF" w:rsidRDefault="00266114">
      <w:pPr>
        <w:rPr>
          <w:rFonts w:ascii="Times New Roman" w:hAnsi="Times New Roman"/>
          <w:sz w:val="24"/>
        </w:rPr>
      </w:pPr>
      <w:r>
        <w:rPr>
          <w:rFonts w:ascii="Times New Roman" w:hAnsi="Times New Roman"/>
          <w:sz w:val="24"/>
        </w:rPr>
        <w:t>5600 Fishers Lane</w:t>
      </w:r>
    </w:p>
    <w:p w:rsidR="005810DF" w:rsidRDefault="00266114">
      <w:pPr>
        <w:rPr>
          <w:rFonts w:ascii="Times New Roman" w:hAnsi="Times New Roman"/>
          <w:sz w:val="24"/>
        </w:rPr>
      </w:pPr>
      <w:r>
        <w:rPr>
          <w:rFonts w:ascii="Times New Roman" w:hAnsi="Times New Roman"/>
          <w:sz w:val="24"/>
        </w:rPr>
        <w:t>Mail Stop: 08E86</w:t>
      </w:r>
    </w:p>
    <w:p w:rsidR="005810DF" w:rsidRDefault="00266114">
      <w:pPr>
        <w:rPr>
          <w:rFonts w:ascii="Times New Roman" w:hAnsi="Times New Roman"/>
          <w:sz w:val="24"/>
        </w:rPr>
      </w:pPr>
      <w:r>
        <w:rPr>
          <w:rFonts w:ascii="Times New Roman" w:hAnsi="Times New Roman"/>
          <w:sz w:val="24"/>
        </w:rPr>
        <w:t>Rockville, MD 20857</w:t>
      </w:r>
    </w:p>
    <w:p w:rsidR="005810DF" w:rsidRDefault="00266114">
      <w:pPr>
        <w:rPr>
          <w:rFonts w:ascii="Times New Roman" w:hAnsi="Times New Roman"/>
          <w:sz w:val="24"/>
        </w:rPr>
      </w:pPr>
    </w:p>
    <w:p w:rsidR="005810DF" w:rsidRDefault="00266114">
      <w:pPr>
        <w:tabs>
          <w:tab w:val="left" w:pos="720"/>
          <w:tab w:val="left" w:pos="1440"/>
          <w:tab w:val="left" w:pos="2160"/>
          <w:tab w:val="left" w:pos="2880"/>
          <w:tab w:val="left" w:pos="3600"/>
          <w:tab w:val="left" w:pos="4320"/>
          <w:tab w:val="left" w:pos="5040"/>
        </w:tabs>
        <w:ind w:left="5040" w:hanging="5040"/>
        <w:rPr>
          <w:rFonts w:ascii="Times New Roman" w:hAnsi="Times New Roman"/>
          <w:sz w:val="24"/>
        </w:rPr>
      </w:pPr>
      <w:r>
        <w:rPr>
          <w:rFonts w:ascii="Times New Roman" w:hAnsi="Times New Roman"/>
          <w:sz w:val="24"/>
          <w:lang w:val="en-CA"/>
        </w:rPr>
        <w:fldChar w:fldCharType="begin"/>
      </w:r>
      <w:r>
        <w:rPr>
          <w:rFonts w:ascii="Times New Roman" w:hAnsi="Times New Roman"/>
          <w:sz w:val="24"/>
          <w:lang w:val="en-CA"/>
        </w:rPr>
        <w:instrText xml:space="preserve"> SEQ CHAPTER \h \r 1</w:instrText>
      </w:r>
      <w:r>
        <w:rPr>
          <w:rFonts w:ascii="Times New Roman" w:hAnsi="Times New Roman"/>
          <w:sz w:val="24"/>
          <w:lang w:val="en-CA"/>
        </w:rPr>
        <w:fldChar w:fldCharType="end"/>
      </w:r>
      <w:r>
        <w:rPr>
          <w:rFonts w:ascii="Times New Roman" w:hAnsi="Times New Roman"/>
          <w:sz w:val="24"/>
        </w:rPr>
        <w:t xml:space="preserve">Re: </w:t>
      </w:r>
      <w:r>
        <w:rPr>
          <w:rFonts w:ascii="Times New Roman" w:hAnsi="Times New Roman"/>
          <w:sz w:val="24"/>
        </w:rPr>
        <w:tab/>
        <w:t xml:space="preserve">IHS Contract Support Costs Policy </w:t>
      </w:r>
    </w:p>
    <w:p w:rsidR="005810DF" w:rsidRDefault="00266114">
      <w:pPr>
        <w:rPr>
          <w:rFonts w:ascii="Times New Roman" w:hAnsi="Times New Roman"/>
          <w:sz w:val="24"/>
        </w:rPr>
      </w:pPr>
    </w:p>
    <w:p w:rsidR="005810DF" w:rsidRDefault="00266114">
      <w:pPr>
        <w:rPr>
          <w:rFonts w:ascii="Times New Roman" w:hAnsi="Times New Roman"/>
          <w:sz w:val="24"/>
        </w:rPr>
      </w:pPr>
      <w:r>
        <w:rPr>
          <w:rFonts w:ascii="Times New Roman" w:hAnsi="Times New Roman"/>
          <w:sz w:val="24"/>
        </w:rPr>
        <w:t xml:space="preserve">Dear Principal Director </w:t>
      </w:r>
      <w:r>
        <w:rPr>
          <w:rFonts w:ascii="Times New Roman" w:hAnsi="Times New Roman"/>
          <w:sz w:val="24"/>
        </w:rPr>
        <w:t>Smith,</w:t>
      </w:r>
    </w:p>
    <w:p w:rsidR="005810DF" w:rsidRDefault="00266114">
      <w:pPr>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t>The [NAME OF TRIBE/ENTITY] submits the following comments on the agency’s proposed revisions to Chapter 6-3 of the Indian Health Service (IHS) Manual addressing contract support cost (CSC) issues.</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b/>
          <w:sz w:val="24"/>
        </w:rPr>
      </w:pPr>
      <w:proofErr w:type="gramStart"/>
      <w:r>
        <w:rPr>
          <w:rFonts w:ascii="Times New Roman" w:hAnsi="Times New Roman"/>
          <w:b/>
          <w:sz w:val="24"/>
        </w:rPr>
        <w:t>Introductory remarks.</w:t>
      </w:r>
      <w:proofErr w:type="gramEnd"/>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t>At the outset, we note that</w:t>
      </w:r>
      <w:r>
        <w:rPr>
          <w:rFonts w:ascii="Times New Roman" w:hAnsi="Times New Roman"/>
          <w:sz w:val="24"/>
        </w:rPr>
        <w:t xml:space="preserve"> Congress has declined to delegate any authority to the agency to write regulations on contract support cost issues.  25 U.S.C. § </w:t>
      </w:r>
      <w:proofErr w:type="gramStart"/>
      <w:r>
        <w:rPr>
          <w:rFonts w:ascii="Times New Roman" w:hAnsi="Times New Roman"/>
          <w:sz w:val="24"/>
        </w:rPr>
        <w:t>450k(</w:t>
      </w:r>
      <w:proofErr w:type="gramEnd"/>
      <w:r>
        <w:rPr>
          <w:rFonts w:ascii="Times New Roman" w:hAnsi="Times New Roman"/>
          <w:sz w:val="24"/>
        </w:rPr>
        <w:t xml:space="preserve">a)(1); </w:t>
      </w:r>
      <w:r>
        <w:rPr>
          <w:rFonts w:ascii="Times New Roman" w:hAnsi="Times New Roman"/>
          <w:i/>
          <w:sz w:val="24"/>
        </w:rPr>
        <w:t>Ramah Navajo School Bd. v. Babbitt</w:t>
      </w:r>
      <w:r>
        <w:rPr>
          <w:rFonts w:ascii="Times New Roman" w:hAnsi="Times New Roman"/>
          <w:sz w:val="24"/>
        </w:rPr>
        <w:t>, 87 F.3d 1338, 1349 (D.C. Cir. 1996) (interpreting § 450k(a)(1)).  While the ag</w:t>
      </w:r>
      <w:r>
        <w:rPr>
          <w:rFonts w:ascii="Times New Roman" w:hAnsi="Times New Roman"/>
          <w:sz w:val="24"/>
        </w:rPr>
        <w:t>ency is free to amend its own Manual, the Indian Self-Determination Act (ISDA) also makes it clear that agency manuals and guidelines are not binding on the Tribes.  25 U.S.C. § 450</w:t>
      </w:r>
      <w:r>
        <w:rPr>
          <w:rFonts w:ascii="Times New Roman" w:hAnsi="Times New Roman"/>
          <w:i/>
          <w:sz w:val="24"/>
        </w:rPr>
        <w:t>l</w:t>
      </w:r>
      <w:r>
        <w:rPr>
          <w:rFonts w:ascii="Times New Roman" w:hAnsi="Times New Roman"/>
          <w:sz w:val="24"/>
        </w:rPr>
        <w:t>(c), sec. 1(b</w:t>
      </w:r>
      <w:proofErr w:type="gramStart"/>
      <w:r>
        <w:rPr>
          <w:rFonts w:ascii="Times New Roman" w:hAnsi="Times New Roman"/>
          <w:sz w:val="24"/>
        </w:rPr>
        <w:t>)(</w:t>
      </w:r>
      <w:proofErr w:type="gramEnd"/>
      <w:r>
        <w:rPr>
          <w:rFonts w:ascii="Times New Roman" w:hAnsi="Times New Roman"/>
          <w:sz w:val="24"/>
        </w:rPr>
        <w:t>11); § 458aaa-16(e).  Nonetheless, we see substantial value</w:t>
      </w:r>
      <w:r>
        <w:rPr>
          <w:rFonts w:ascii="Times New Roman" w:hAnsi="Times New Roman"/>
          <w:sz w:val="24"/>
        </w:rPr>
        <w:t xml:space="preserve"> in the agency setting forth in its Manual how it plans to deal with contract support cost issues.  For that reason, we are pleased to see IHS moving forward to reform its internal CSC procedures in light of recent litigation requiring full payment of cont</w:t>
      </w:r>
      <w:r>
        <w:rPr>
          <w:rFonts w:ascii="Times New Roman" w:hAnsi="Times New Roman"/>
          <w:sz w:val="24"/>
        </w:rPr>
        <w:t>ract support costs (Salazar v Ramah, 132 S. Ct. 2181 (2012), the agency’s own commitment to that goal, and the recent congressional decision to appropriate such sums as may be necessary each year to pay contract support costs in full.  See Pub. L. 114-113,</w:t>
      </w:r>
      <w:r>
        <w:rPr>
          <w:rFonts w:ascii="Times New Roman" w:hAnsi="Times New Roman"/>
          <w:sz w:val="24"/>
        </w:rPr>
        <w:t xml:space="preserve"> __ Stat. __ (2015).  Having a policy in place—even with the shortcomings noted below—would mark an improvement over the recent state of affairs, in which IHS ma</w:t>
      </w:r>
      <w:r>
        <w:rPr>
          <w:rFonts w:ascii="Times New Roman" w:hAnsi="Times New Roman"/>
          <w:sz w:val="24"/>
        </w:rPr>
        <w:t>k</w:t>
      </w:r>
      <w:r>
        <w:rPr>
          <w:rFonts w:ascii="Times New Roman" w:hAnsi="Times New Roman"/>
          <w:sz w:val="24"/>
        </w:rPr>
        <w:t>e</w:t>
      </w:r>
      <w:r>
        <w:rPr>
          <w:rFonts w:ascii="Times New Roman" w:hAnsi="Times New Roman"/>
          <w:sz w:val="24"/>
        </w:rPr>
        <w:t>s</w:t>
      </w:r>
      <w:r>
        <w:rPr>
          <w:rFonts w:ascii="Times New Roman" w:hAnsi="Times New Roman"/>
          <w:sz w:val="24"/>
        </w:rPr>
        <w:t xml:space="preserve"> unilateral implementation decisions </w:t>
      </w:r>
      <w:r>
        <w:rPr>
          <w:rFonts w:ascii="Times New Roman" w:hAnsi="Times New Roman"/>
          <w:sz w:val="24"/>
        </w:rPr>
        <w:t>without notice that then may be implemented differently</w:t>
      </w:r>
      <w:r>
        <w:rPr>
          <w:rFonts w:ascii="Times New Roman" w:hAnsi="Times New Roman"/>
          <w:sz w:val="24"/>
        </w:rPr>
        <w:t xml:space="preserve"> </w:t>
      </w:r>
      <w:r>
        <w:rPr>
          <w:rFonts w:ascii="Times New Roman" w:hAnsi="Times New Roman"/>
          <w:sz w:val="24"/>
        </w:rPr>
        <w:t>throughout the Areas.</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t>Before commenting on specific provisions, we also want to offer praise to IHS for pursuing an inclusive and collaborative consultation process over the past six months for developing the proposed new CSC Chapter.  For years followin</w:t>
      </w:r>
      <w:r>
        <w:rPr>
          <w:rFonts w:ascii="Times New Roman" w:hAnsi="Times New Roman"/>
          <w:sz w:val="24"/>
        </w:rPr>
        <w:t xml:space="preserve">g the Ramah decision, IHS leadership refused to engage meaningfully and openly with tribal leadership.  But under your leadership and that of former Principal Deputy Bob </w:t>
      </w:r>
      <w:proofErr w:type="spellStart"/>
      <w:r>
        <w:rPr>
          <w:rFonts w:ascii="Times New Roman" w:hAnsi="Times New Roman"/>
          <w:sz w:val="24"/>
        </w:rPr>
        <w:t>McSwain</w:t>
      </w:r>
      <w:proofErr w:type="spellEnd"/>
      <w:r>
        <w:rPr>
          <w:rFonts w:ascii="Times New Roman" w:hAnsi="Times New Roman"/>
          <w:sz w:val="24"/>
        </w:rPr>
        <w:t>, that approach changed and, consistent with the President’s and the Department</w:t>
      </w:r>
      <w:r>
        <w:rPr>
          <w:rFonts w:ascii="Times New Roman" w:hAnsi="Times New Roman"/>
          <w:sz w:val="24"/>
        </w:rPr>
        <w:t xml:space="preserve">’s consultation policies, IHS finally engaged in genuine government-to-government dialogue over the CSC Chapter.  In this respect, IHS set </w:t>
      </w:r>
      <w:r>
        <w:rPr>
          <w:rFonts w:ascii="Times New Roman" w:hAnsi="Times New Roman"/>
          <w:sz w:val="24"/>
        </w:rPr>
        <w:lastRenderedPageBreak/>
        <w:t>an excellent example of the way in which the federal-tribal relationship should work in the context of developing fed</w:t>
      </w:r>
      <w:r>
        <w:rPr>
          <w:rFonts w:ascii="Times New Roman" w:hAnsi="Times New Roman"/>
          <w:sz w:val="24"/>
        </w:rPr>
        <w:t xml:space="preserve">eral guidelines, manuals and regulations impacting tribal governments. </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proofErr w:type="gramStart"/>
      <w:r>
        <w:rPr>
          <w:rFonts w:ascii="Times New Roman" w:hAnsi="Times New Roman"/>
          <w:b/>
          <w:sz w:val="24"/>
        </w:rPr>
        <w:t>Overview</w:t>
      </w:r>
      <w:r>
        <w:rPr>
          <w:rFonts w:ascii="Times New Roman" w:hAnsi="Times New Roman"/>
          <w:sz w:val="24"/>
        </w:rPr>
        <w:t>.</w:t>
      </w:r>
      <w:proofErr w:type="gramEnd"/>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t xml:space="preserve">On the whole, the proposed new CSC chapter is helpful in laying out in considerable detail how IHS intends to negotiate, determine, and pay CSC.  However, the Chapter is </w:t>
      </w:r>
      <w:r>
        <w:rPr>
          <w:rFonts w:ascii="Times New Roman" w:hAnsi="Times New Roman"/>
          <w:sz w:val="24"/>
        </w:rPr>
        <w:t>overly complex, and it imposes unnecessary accounting restrictions and requirements on the computation and reconciliation of CSC amounts.  It appears to us that IHS’s litigation experience over the past three years in the CSC claims arena has led IHS to ad</w:t>
      </w:r>
      <w:r>
        <w:rPr>
          <w:rFonts w:ascii="Times New Roman" w:hAnsi="Times New Roman"/>
          <w:sz w:val="24"/>
        </w:rPr>
        <w:t>opt an increasingly narrow interpretation of the ISDA.  This has occurred despite the Act’s direction to IHS to interpret the Act’s provisions “liberally” in favor of the Tribes.  25 U.S.C. § 450</w:t>
      </w:r>
      <w:r>
        <w:rPr>
          <w:rFonts w:ascii="Times New Roman" w:hAnsi="Times New Roman"/>
          <w:i/>
          <w:sz w:val="24"/>
        </w:rPr>
        <w:t>l</w:t>
      </w:r>
      <w:r>
        <w:rPr>
          <w:rFonts w:ascii="Times New Roman" w:hAnsi="Times New Roman"/>
          <w:sz w:val="24"/>
        </w:rPr>
        <w:t>(c), sec. 1(a</w:t>
      </w:r>
      <w:proofErr w:type="gramStart"/>
      <w:r>
        <w:rPr>
          <w:rFonts w:ascii="Times New Roman" w:hAnsi="Times New Roman"/>
          <w:sz w:val="24"/>
        </w:rPr>
        <w:t>)(</w:t>
      </w:r>
      <w:proofErr w:type="gramEnd"/>
      <w:r>
        <w:rPr>
          <w:rFonts w:ascii="Times New Roman" w:hAnsi="Times New Roman"/>
          <w:sz w:val="24"/>
        </w:rPr>
        <w:t>2); § 458aaa-11(f).  The BIA approach, on bot</w:t>
      </w:r>
      <w:r>
        <w:rPr>
          <w:rFonts w:ascii="Times New Roman" w:hAnsi="Times New Roman"/>
          <w:sz w:val="24"/>
        </w:rPr>
        <w:t>h scores, is both simpler and more in line with past BIA and IHS practice.  That said</w:t>
      </w:r>
      <w:proofErr w:type="gramStart"/>
      <w:r>
        <w:rPr>
          <w:rFonts w:ascii="Times New Roman" w:hAnsi="Times New Roman"/>
          <w:sz w:val="24"/>
        </w:rPr>
        <w:t>,</w:t>
      </w:r>
      <w:proofErr w:type="gramEnd"/>
      <w:r>
        <w:rPr>
          <w:rFonts w:ascii="Times New Roman" w:hAnsi="Times New Roman"/>
          <w:sz w:val="24"/>
        </w:rPr>
        <w:t xml:space="preserve"> we appreciate that the approach laid out in the proposed CSC Chapter is a compromise between the Tribes’ views of what the law commands and the agency’s competing curren</w:t>
      </w:r>
      <w:r>
        <w:rPr>
          <w:rFonts w:ascii="Times New Roman" w:hAnsi="Times New Roman"/>
          <w:sz w:val="24"/>
        </w:rPr>
        <w:t xml:space="preserve">t views.  </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t>Because of the CSC Chapter’s resulting complexity, the Chapter largely misses the goals laid out on pages 3-4 that the Chapter should “be simple and efficient,” “align with the [BIA] CSC policy,” “</w:t>
      </w:r>
      <w:proofErr w:type="spellStart"/>
      <w:r>
        <w:rPr>
          <w:rFonts w:ascii="Times New Roman" w:hAnsi="Times New Roman"/>
          <w:sz w:val="24"/>
        </w:rPr>
        <w:t>provid</w:t>
      </w:r>
      <w:proofErr w:type="spellEnd"/>
      <w:r>
        <w:rPr>
          <w:rFonts w:ascii="Times New Roman" w:hAnsi="Times New Roman"/>
          <w:sz w:val="24"/>
        </w:rPr>
        <w:t>[e] needed certainty,” and “minimize futu</w:t>
      </w:r>
      <w:r>
        <w:rPr>
          <w:rFonts w:ascii="Times New Roman" w:hAnsi="Times New Roman"/>
          <w:sz w:val="24"/>
        </w:rPr>
        <w:t>re litigation.”  However, we recommend that these provisions be retained in the hopes that upcoming and future revisions to the Chapter will hit closer to the mark.  Moreover, we urge that these principles guide IHS’s interpretation and implementation of t</w:t>
      </w:r>
      <w:r>
        <w:rPr>
          <w:rFonts w:ascii="Times New Roman" w:hAnsi="Times New Roman"/>
          <w:sz w:val="24"/>
        </w:rPr>
        <w:t xml:space="preserve">he policy </w:t>
      </w:r>
      <w:r>
        <w:rPr>
          <w:rFonts w:ascii="Times New Roman" w:hAnsi="Times New Roman"/>
          <w:sz w:val="24"/>
        </w:rPr>
        <w:t>once</w:t>
      </w:r>
      <w:r>
        <w:rPr>
          <w:rFonts w:ascii="Times New Roman" w:hAnsi="Times New Roman"/>
          <w:sz w:val="24"/>
        </w:rPr>
        <w:t xml:space="preserve"> finalized. The principles of simplicity, efficiency, transparency, consistency, and trust all </w:t>
      </w:r>
      <w:r>
        <w:rPr>
          <w:rFonts w:ascii="Times New Roman" w:hAnsi="Times New Roman"/>
          <w:sz w:val="24"/>
        </w:rPr>
        <w:t xml:space="preserve">should </w:t>
      </w:r>
      <w:r>
        <w:rPr>
          <w:rFonts w:ascii="Times New Roman" w:hAnsi="Times New Roman"/>
          <w:sz w:val="24"/>
        </w:rPr>
        <w:t>permeate IHS training on and implementation of the policy.</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b/>
          <w:sz w:val="24"/>
        </w:rPr>
      </w:pPr>
      <w:proofErr w:type="gramStart"/>
      <w:r>
        <w:rPr>
          <w:rFonts w:ascii="Times New Roman" w:hAnsi="Times New Roman"/>
          <w:b/>
          <w:sz w:val="24"/>
        </w:rPr>
        <w:t>Duplication Issue.</w:t>
      </w:r>
      <w:proofErr w:type="gramEnd"/>
    </w:p>
    <w:p w:rsidR="005810DF" w:rsidRDefault="00266114" w:rsidP="00210218">
      <w:pPr>
        <w:jc w:val="both"/>
        <w:rPr>
          <w:rFonts w:ascii="Times New Roman" w:hAnsi="Times New Roman"/>
          <w:b/>
          <w:sz w:val="24"/>
        </w:rPr>
      </w:pPr>
    </w:p>
    <w:p w:rsidR="005810DF" w:rsidRDefault="00266114" w:rsidP="00210218">
      <w:pPr>
        <w:ind w:firstLine="720"/>
        <w:jc w:val="both"/>
        <w:rPr>
          <w:rFonts w:ascii="Times New Roman" w:hAnsi="Times New Roman"/>
          <w:sz w:val="24"/>
        </w:rPr>
      </w:pPr>
      <w:proofErr w:type="gramStart"/>
      <w:r>
        <w:rPr>
          <w:rFonts w:ascii="Times New Roman" w:hAnsi="Times New Roman"/>
          <w:sz w:val="24"/>
          <w:u w:val="single"/>
        </w:rPr>
        <w:t>The duplication issue</w:t>
      </w:r>
      <w:r>
        <w:rPr>
          <w:rFonts w:ascii="Times New Roman" w:hAnsi="Times New Roman"/>
          <w:sz w:val="24"/>
        </w:rPr>
        <w:t>.</w:t>
      </w:r>
      <w:proofErr w:type="gramEnd"/>
      <w:r>
        <w:rPr>
          <w:rFonts w:ascii="Times New Roman" w:hAnsi="Times New Roman"/>
          <w:sz w:val="24"/>
        </w:rPr>
        <w:t xml:space="preserve">  Much of what is new in the proposed CSC Chapter concerns the so-called “duplication” issue—i.e. how to account for costs requested as CSC that may duplicate amounts already transferred by the Secretary.  We recognize that the duplication issue has emerg</w:t>
      </w:r>
      <w:r>
        <w:rPr>
          <w:rFonts w:ascii="Times New Roman" w:hAnsi="Times New Roman"/>
          <w:sz w:val="24"/>
        </w:rPr>
        <w:t>ed in the last two years as a particularly contentious issue between IHS and Tribes, and that as a result the Chapter does not reflect a consensus on how the duplication issue should be addressed.  To the contrary, footnote 1 on page 9 and footnote 10 on p</w:t>
      </w:r>
      <w:r>
        <w:rPr>
          <w:rFonts w:ascii="Times New Roman" w:hAnsi="Times New Roman"/>
          <w:sz w:val="24"/>
        </w:rPr>
        <w:t xml:space="preserve">age 41 summarize the competing agency and tribal views on this issue.  Additional places where this issue arises are in several footnotes appearing on pages 60-65, concerning the negotiation of various types of direct contract support costs.  </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t>Without bel</w:t>
      </w:r>
      <w:r>
        <w:rPr>
          <w:rFonts w:ascii="Times New Roman" w:hAnsi="Times New Roman"/>
          <w:sz w:val="24"/>
        </w:rPr>
        <w:t xml:space="preserve">aboring the issue, we agree with the tribal position that nothing in the ISDA disqualifies any category of costs for consideration as contract support costs, so long as a given </w:t>
      </w:r>
      <w:proofErr w:type="gramStart"/>
      <w:r>
        <w:rPr>
          <w:rFonts w:ascii="Times New Roman" w:hAnsi="Times New Roman"/>
          <w:sz w:val="24"/>
        </w:rPr>
        <w:t>type</w:t>
      </w:r>
      <w:proofErr w:type="gramEnd"/>
      <w:r>
        <w:rPr>
          <w:rFonts w:ascii="Times New Roman" w:hAnsi="Times New Roman"/>
          <w:sz w:val="24"/>
        </w:rPr>
        <w:t xml:space="preserve"> of cost meets the definitional provisions set forth in 25 U.S.C. § 450j-1(</w:t>
      </w:r>
      <w:r>
        <w:rPr>
          <w:rFonts w:ascii="Times New Roman" w:hAnsi="Times New Roman"/>
          <w:sz w:val="24"/>
        </w:rPr>
        <w:t>a)(3), which is where the duplication provision appears.  We therefore recommend that the final CSC Chapter either adopt the tribal position or retain all these footnotes unchanged.</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proofErr w:type="gramStart"/>
      <w:r>
        <w:rPr>
          <w:rFonts w:ascii="Times New Roman" w:hAnsi="Times New Roman"/>
          <w:sz w:val="24"/>
          <w:u w:val="single"/>
        </w:rPr>
        <w:t>Duplication in Recurring Service Unit Tribal Shares</w:t>
      </w:r>
      <w:r>
        <w:rPr>
          <w:rFonts w:ascii="Times New Roman" w:hAnsi="Times New Roman"/>
          <w:sz w:val="24"/>
        </w:rPr>
        <w:t>.</w:t>
      </w:r>
      <w:proofErr w:type="gramEnd"/>
      <w:r>
        <w:rPr>
          <w:rFonts w:ascii="Times New Roman" w:hAnsi="Times New Roman"/>
          <w:sz w:val="24"/>
        </w:rPr>
        <w:t xml:space="preserve">  One area where the </w:t>
      </w:r>
      <w:r>
        <w:rPr>
          <w:rFonts w:ascii="Times New Roman" w:hAnsi="Times New Roman"/>
          <w:sz w:val="24"/>
        </w:rPr>
        <w:t xml:space="preserve">CSC Chapter specifically addresses the duplication issue in a practical compromise fashion concerns </w:t>
      </w:r>
      <w:r>
        <w:rPr>
          <w:rFonts w:ascii="Times New Roman" w:hAnsi="Times New Roman"/>
          <w:sz w:val="24"/>
        </w:rPr>
        <w:lastRenderedPageBreak/>
        <w:t>Recurring Service Unit Shares.  The existing Manual provides an optional default rule that 20% of Area and Headquarters Tribal Shares are considered duplica</w:t>
      </w:r>
      <w:r>
        <w:rPr>
          <w:rFonts w:ascii="Times New Roman" w:hAnsi="Times New Roman"/>
          <w:sz w:val="24"/>
        </w:rPr>
        <w:t>tive of CSC amounts otherwise due (page 19).  The new draft Chapter provides a similar optional (and prospective) rule under which 3% of Recurring Service Unit Tribal Shares will be considered duplicative of CSC amounts otherwise due (page 18).  As with th</w:t>
      </w:r>
      <w:r>
        <w:rPr>
          <w:rFonts w:ascii="Times New Roman" w:hAnsi="Times New Roman"/>
          <w:sz w:val="24"/>
        </w:rPr>
        <w:t xml:space="preserve">e Area and Headquarters Shares offset, the new Chapter would provide Tribes with the alternative of engaging in a detailed analysis of the shares being contracted or compacted.    </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t>In principal, we support the proposed prospective 3% duplication provision</w:t>
      </w:r>
      <w:r>
        <w:rPr>
          <w:rFonts w:ascii="Times New Roman" w:hAnsi="Times New Roman"/>
          <w:sz w:val="24"/>
        </w:rPr>
        <w:t xml:space="preserve"> as a reasonable and efficient optional approach to the duplication issue, provided (as the draft notes) that the provision does not displace existing and longstanding agreements over contracted amounts (including existing agreements about duplicated amoun</w:t>
      </w:r>
      <w:r>
        <w:rPr>
          <w:rFonts w:ascii="Times New Roman" w:hAnsi="Times New Roman"/>
          <w:sz w:val="24"/>
        </w:rPr>
        <w:t>ts or the lack thereof).  We support grandfathering in all existing agreements, so that the provision is only applied (1) to new or expanded programs, (2) where new costs are placed into a Tribe’s indirect cost pool, causing the pool to grow by more than 2</w:t>
      </w:r>
      <w:r>
        <w:rPr>
          <w:rFonts w:ascii="Times New Roman" w:hAnsi="Times New Roman"/>
          <w:sz w:val="24"/>
        </w:rPr>
        <w:t xml:space="preserve">% for that reason, or (3) to past ongoing contracted operations where the Tribe chooses to negotiate a new amount with IHS.  </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t>We do suggest that the term “2% in the value of the IDC pool” at the top of page 18 be explained, since the provision may be read</w:t>
      </w:r>
      <w:r>
        <w:rPr>
          <w:rFonts w:ascii="Times New Roman" w:hAnsi="Times New Roman"/>
          <w:sz w:val="24"/>
        </w:rPr>
        <w:t xml:space="preserve"> to mean a change in the pool leading to an increase in an indirect cost rate exceeding 2 percentage points (that is, from a 30% rate to a rate in excess of 32%).  We believe what is intended is an increase in the size of the pool exceeding 2% of the value</w:t>
      </w:r>
      <w:r>
        <w:rPr>
          <w:rFonts w:ascii="Times New Roman" w:hAnsi="Times New Roman"/>
          <w:sz w:val="24"/>
        </w:rPr>
        <w:t xml:space="preserve"> of the pool, such as from a $1,000,000 pool to a pool exceeding $1,020,000 where the $20,000 additional amount is attributable to placement of a new type of cost in the pool.  </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proofErr w:type="gramStart"/>
      <w:r>
        <w:rPr>
          <w:rFonts w:ascii="Times New Roman" w:hAnsi="Times New Roman"/>
          <w:sz w:val="24"/>
        </w:rPr>
        <w:t xml:space="preserve">Also, in deciding whether a cost is a “new type” so as to trigger a detailed </w:t>
      </w:r>
      <w:r>
        <w:rPr>
          <w:rFonts w:ascii="Times New Roman" w:hAnsi="Times New Roman"/>
          <w:sz w:val="24"/>
        </w:rPr>
        <w:t>duplication analysis (or the 3% offset), IHS should interpret this phrase liberally in favor of the awardee, in accordance with the letter and spirit of the ISDA.</w:t>
      </w:r>
      <w:proofErr w:type="gramEnd"/>
      <w:r>
        <w:rPr>
          <w:rFonts w:ascii="Times New Roman" w:hAnsi="Times New Roman"/>
          <w:sz w:val="24"/>
        </w:rPr>
        <w:t xml:space="preserve">  For example, if an awardee were to create a new compliance officer position, that would be a</w:t>
      </w:r>
      <w:r>
        <w:rPr>
          <w:rFonts w:ascii="Times New Roman" w:hAnsi="Times New Roman"/>
          <w:sz w:val="24"/>
        </w:rPr>
        <w:t xml:space="preserve"> new cost but should not be deemed a new “type” of cost</w:t>
      </w:r>
      <w:r>
        <w:rPr>
          <w:rFonts w:ascii="Times New Roman" w:hAnsi="Times New Roman"/>
          <w:sz w:val="24"/>
        </w:rPr>
        <w:t xml:space="preserve"> if</w:t>
      </w:r>
      <w:r>
        <w:rPr>
          <w:rFonts w:ascii="Times New Roman" w:hAnsi="Times New Roman"/>
          <w:sz w:val="24"/>
        </w:rPr>
        <w:t xml:space="preserve"> it contributes to pre-existing administrative and management functions.  </w:t>
      </w:r>
      <w:r>
        <w:rPr>
          <w:rFonts w:ascii="Times New Roman" w:hAnsi="Times New Roman"/>
          <w:sz w:val="24"/>
        </w:rPr>
        <w:t>Like all parts of the policy, t</w:t>
      </w:r>
      <w:r>
        <w:rPr>
          <w:rFonts w:ascii="Times New Roman" w:hAnsi="Times New Roman"/>
          <w:sz w:val="24"/>
        </w:rPr>
        <w:t xml:space="preserve">he other triggers to duplication analysis </w:t>
      </w:r>
      <w:r>
        <w:rPr>
          <w:rFonts w:ascii="Times New Roman" w:hAnsi="Times New Roman"/>
          <w:sz w:val="24"/>
        </w:rPr>
        <w:t xml:space="preserve">must </w:t>
      </w:r>
      <w:r>
        <w:rPr>
          <w:rFonts w:ascii="Times New Roman" w:hAnsi="Times New Roman"/>
          <w:sz w:val="24"/>
        </w:rPr>
        <w:t>also be subject to liberal interpretation in f</w:t>
      </w:r>
      <w:r>
        <w:rPr>
          <w:rFonts w:ascii="Times New Roman" w:hAnsi="Times New Roman"/>
          <w:sz w:val="24"/>
        </w:rPr>
        <w:t xml:space="preserve">avor of tribes.  </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b/>
          <w:sz w:val="24"/>
        </w:rPr>
      </w:pPr>
      <w:r>
        <w:rPr>
          <w:rFonts w:ascii="Times New Roman" w:hAnsi="Times New Roman"/>
          <w:b/>
          <w:sz w:val="24"/>
        </w:rPr>
        <w:t xml:space="preserve">Startup and Pre-award Costs (page 12).  </w:t>
      </w:r>
    </w:p>
    <w:p w:rsidR="005810DF" w:rsidRDefault="00266114" w:rsidP="00210218">
      <w:pPr>
        <w:jc w:val="both"/>
        <w:rPr>
          <w:rFonts w:ascii="Times New Roman" w:hAnsi="Times New Roman"/>
          <w:b/>
          <w:sz w:val="24"/>
        </w:rPr>
      </w:pPr>
    </w:p>
    <w:p w:rsidR="005810DF" w:rsidRDefault="00266114" w:rsidP="00210218">
      <w:pPr>
        <w:ind w:firstLine="720"/>
        <w:jc w:val="both"/>
        <w:rPr>
          <w:rFonts w:ascii="Times New Roman" w:hAnsi="Times New Roman"/>
          <w:sz w:val="24"/>
        </w:rPr>
      </w:pPr>
      <w:r>
        <w:rPr>
          <w:rFonts w:ascii="Times New Roman" w:hAnsi="Times New Roman"/>
          <w:sz w:val="24"/>
        </w:rPr>
        <w:t>We agree with compromise provisions calling for a post year-end tribal self-certification that startup costs have been spent on negotiated startup activities.  We also agree with provisions addre</w:t>
      </w:r>
      <w:r>
        <w:rPr>
          <w:rFonts w:ascii="Times New Roman" w:hAnsi="Times New Roman"/>
          <w:sz w:val="24"/>
        </w:rPr>
        <w:t>ssing the negotiation of additional startup costs a Tribe incurs in excess of the negotiated amount.  We also agree with provisions stating that excess startup costs may either be repaid or applied to the subsequent year’s CSC requirement.</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b/>
          <w:sz w:val="24"/>
        </w:rPr>
      </w:pPr>
      <w:r>
        <w:rPr>
          <w:rFonts w:ascii="Times New Roman" w:hAnsi="Times New Roman"/>
          <w:b/>
          <w:sz w:val="24"/>
        </w:rPr>
        <w:t>Direct Contract</w:t>
      </w:r>
      <w:r>
        <w:rPr>
          <w:rFonts w:ascii="Times New Roman" w:hAnsi="Times New Roman"/>
          <w:b/>
          <w:sz w:val="24"/>
        </w:rPr>
        <w:t xml:space="preserve"> Support Costs (DCSC) (pages 12-14).</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proofErr w:type="gramStart"/>
      <w:r>
        <w:rPr>
          <w:rFonts w:ascii="Times New Roman" w:hAnsi="Times New Roman"/>
          <w:sz w:val="24"/>
          <w:u w:val="single"/>
        </w:rPr>
        <w:t>Renegotiation of DCSC</w:t>
      </w:r>
      <w:r>
        <w:rPr>
          <w:rFonts w:ascii="Times New Roman" w:hAnsi="Times New Roman"/>
          <w:sz w:val="24"/>
        </w:rPr>
        <w:t>.</w:t>
      </w:r>
      <w:proofErr w:type="gramEnd"/>
      <w:r>
        <w:rPr>
          <w:rFonts w:ascii="Times New Roman" w:hAnsi="Times New Roman"/>
          <w:sz w:val="24"/>
        </w:rPr>
        <w:t xml:space="preserve">  We agree with provisions retaining DCSC costs as recurring costs, subject to an inflationary adjustment, and calling for renegotiation only in limited circumstances: (1) when a tribe requests and concludes a renegotiation, (2) when a cost previously fun</w:t>
      </w:r>
      <w:r>
        <w:rPr>
          <w:rFonts w:ascii="Times New Roman" w:hAnsi="Times New Roman"/>
          <w:sz w:val="24"/>
        </w:rPr>
        <w:t xml:space="preserve">ded as DCSC is moved to an indirect cost pool, (3) when a tribe withdraws from </w:t>
      </w:r>
      <w:r>
        <w:rPr>
          <w:rFonts w:ascii="Times New Roman" w:hAnsi="Times New Roman"/>
          <w:sz w:val="24"/>
        </w:rPr>
        <w:lastRenderedPageBreak/>
        <w:t xml:space="preserve">an intertribal consortium, or (4) when a tribe converts IPA or MOA personnel to direct hire (page 13).  </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proofErr w:type="gramStart"/>
      <w:r>
        <w:rPr>
          <w:rFonts w:ascii="Times New Roman" w:hAnsi="Times New Roman"/>
          <w:sz w:val="24"/>
          <w:u w:val="single"/>
        </w:rPr>
        <w:t>Inflation adjustment</w:t>
      </w:r>
      <w:r>
        <w:rPr>
          <w:rFonts w:ascii="Times New Roman" w:hAnsi="Times New Roman"/>
          <w:sz w:val="24"/>
        </w:rPr>
        <w:t>.</w:t>
      </w:r>
      <w:proofErr w:type="gramEnd"/>
      <w:r>
        <w:rPr>
          <w:rFonts w:ascii="Times New Roman" w:hAnsi="Times New Roman"/>
          <w:sz w:val="24"/>
        </w:rPr>
        <w:t xml:space="preserve">  We strongly support switching the inflationary a</w:t>
      </w:r>
      <w:r>
        <w:rPr>
          <w:rFonts w:ascii="Times New Roman" w:hAnsi="Times New Roman"/>
          <w:sz w:val="24"/>
        </w:rPr>
        <w:t>djustment to a medical inflation rate (as discussed in footnote 2, page 13), and urge the agency to make this change in 2016.  DCSC costs are part of the medical program being operated and there is accordingly no sound reason for not adjusting such costs b</w:t>
      </w:r>
      <w:r>
        <w:rPr>
          <w:rFonts w:ascii="Times New Roman" w:hAnsi="Times New Roman"/>
          <w:sz w:val="24"/>
        </w:rPr>
        <w:t xml:space="preserve">y a medical inflation rate.  </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b/>
          <w:sz w:val="24"/>
        </w:rPr>
      </w:pPr>
      <w:proofErr w:type="gramStart"/>
      <w:r>
        <w:rPr>
          <w:rFonts w:ascii="Times New Roman" w:hAnsi="Times New Roman"/>
          <w:b/>
          <w:sz w:val="24"/>
        </w:rPr>
        <w:t>Indirect Costs (pages 14-17).</w:t>
      </w:r>
      <w:proofErr w:type="gramEnd"/>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proofErr w:type="gramStart"/>
      <w:r>
        <w:rPr>
          <w:rFonts w:ascii="Times New Roman" w:hAnsi="Times New Roman"/>
          <w:sz w:val="24"/>
          <w:u w:val="single"/>
        </w:rPr>
        <w:t>Negotiating the estimated indirect CSC requirement at the front end</w:t>
      </w:r>
      <w:r>
        <w:rPr>
          <w:rFonts w:ascii="Times New Roman" w:hAnsi="Times New Roman"/>
          <w:sz w:val="24"/>
        </w:rPr>
        <w:t>.</w:t>
      </w:r>
      <w:proofErr w:type="gramEnd"/>
      <w:r>
        <w:rPr>
          <w:rFonts w:ascii="Times New Roman" w:hAnsi="Times New Roman"/>
          <w:sz w:val="24"/>
        </w:rPr>
        <w:t xml:space="preserve">  Given the agency’s insistence upon a so-called “incurred cost” approach to estimating and paying CSC requirements, we suppor</w:t>
      </w:r>
      <w:r>
        <w:rPr>
          <w:rFonts w:ascii="Times New Roman" w:hAnsi="Times New Roman"/>
          <w:sz w:val="24"/>
        </w:rPr>
        <w:t>t the agency’s decision to assume that CSC is to be calculated on the entire contracted amount if at least that much in total tribal health care funding (from whatever source) was spent in the preceding year.  The agency states in footnote 3 (page 15) that</w:t>
      </w:r>
      <w:r>
        <w:rPr>
          <w:rFonts w:ascii="Times New Roman" w:hAnsi="Times New Roman"/>
          <w:sz w:val="24"/>
        </w:rPr>
        <w:t xml:space="preserve"> a “substantial majority of awardees” show total health care expenditures exceeding the IHS contract amount, and its internal study showed that over 95% of tribal contractors and compactors fall into this category.  While it is unfortunate that the agency </w:t>
      </w:r>
      <w:r>
        <w:rPr>
          <w:rFonts w:ascii="Times New Roman" w:hAnsi="Times New Roman"/>
          <w:sz w:val="24"/>
        </w:rPr>
        <w:t>is moving away from simply calculating CSC on the current years contracted amount—a practice the BIA will continue to follow under its proposed new Manual—the assumption that IHS dollars are spent first will limit the adverse impact of IHS’s position for m</w:t>
      </w:r>
      <w:r>
        <w:rPr>
          <w:rFonts w:ascii="Times New Roman" w:hAnsi="Times New Roman"/>
          <w:sz w:val="24"/>
        </w:rPr>
        <w:t xml:space="preserve">ost Tribes.  Of course, far preferable would be for IHS to return to past practice and not overly complicate the calculation and payment of CSC amounts by including provisions driven by circumstances facing only 5% of tribal contractors.  </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proofErr w:type="gramStart"/>
      <w:r>
        <w:rPr>
          <w:rFonts w:ascii="Times New Roman" w:hAnsi="Times New Roman"/>
          <w:sz w:val="24"/>
          <w:u w:val="single"/>
        </w:rPr>
        <w:t>Negotiating the</w:t>
      </w:r>
      <w:r>
        <w:rPr>
          <w:rFonts w:ascii="Times New Roman" w:hAnsi="Times New Roman"/>
          <w:sz w:val="24"/>
          <w:u w:val="single"/>
        </w:rPr>
        <w:t xml:space="preserve"> final indirect CSC requirement after year-end</w:t>
      </w:r>
      <w:r>
        <w:rPr>
          <w:rFonts w:ascii="Times New Roman" w:hAnsi="Times New Roman"/>
          <w:sz w:val="24"/>
        </w:rPr>
        <w:t>.</w:t>
      </w:r>
      <w:proofErr w:type="gramEnd"/>
      <w:r>
        <w:rPr>
          <w:rFonts w:ascii="Times New Roman" w:hAnsi="Times New Roman"/>
          <w:sz w:val="24"/>
        </w:rPr>
        <w:t xml:space="preserve">  In the past, IHS has negotiated final year-end amounts based upon the best available data on hand within the 90-day period following the close of the contract year.  We understand this is how the BIA will co</w:t>
      </w:r>
      <w:r>
        <w:rPr>
          <w:rFonts w:ascii="Times New Roman" w:hAnsi="Times New Roman"/>
          <w:sz w:val="24"/>
        </w:rPr>
        <w:t>ntinue to operate.  But because IHS has seized upon the “incurred cost” approach, IHS has in recent years discussed waiting as long as 5 years to reconcile final CSC requirements against not only full audits, but subsequent indirect cost rate carryover sch</w:t>
      </w:r>
      <w:r>
        <w:rPr>
          <w:rFonts w:ascii="Times New Roman" w:hAnsi="Times New Roman"/>
          <w:sz w:val="24"/>
        </w:rPr>
        <w:t>edules issued two and even four years out.  This delay is unnecessary.  We encourage IHS to return to a policy of negotiating final amounts for each year within 90 days of the end of that contract year based on the best available data at that time.  This l</w:t>
      </w:r>
      <w:r>
        <w:rPr>
          <w:rFonts w:ascii="Times New Roman" w:hAnsi="Times New Roman"/>
          <w:sz w:val="24"/>
        </w:rPr>
        <w:t>eads to the next issue.</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proofErr w:type="gramStart"/>
      <w:r>
        <w:rPr>
          <w:rFonts w:ascii="Times New Roman" w:hAnsi="Times New Roman"/>
          <w:sz w:val="24"/>
          <w:u w:val="single"/>
        </w:rPr>
        <w:t>Aged IDC rates</w:t>
      </w:r>
      <w:r>
        <w:rPr>
          <w:rFonts w:ascii="Times New Roman" w:hAnsi="Times New Roman"/>
          <w:sz w:val="24"/>
        </w:rPr>
        <w:t>.</w:t>
      </w:r>
      <w:proofErr w:type="gramEnd"/>
      <w:r>
        <w:rPr>
          <w:rFonts w:ascii="Times New Roman" w:hAnsi="Times New Roman"/>
          <w:sz w:val="24"/>
        </w:rPr>
        <w:t xml:space="preserve">  We are pleased to see that IHS has developed a compromise approach that will permit close-out of the CSC negotiation process within a few months after the close of the contract year, so long as a Tribe has a fixed </w:t>
      </w:r>
      <w:r>
        <w:rPr>
          <w:rFonts w:ascii="Times New Roman" w:hAnsi="Times New Roman"/>
          <w:sz w:val="24"/>
        </w:rPr>
        <w:t>indirect cost rate that is no more than one year old (for Tribes with a fixed-with-carry-forward rate), or a final rate that is no more than two years old (for Tribes with provisional-final rates).  We are concerned that the switch from using up to three y</w:t>
      </w:r>
      <w:r>
        <w:rPr>
          <w:rFonts w:ascii="Times New Roman" w:hAnsi="Times New Roman"/>
          <w:sz w:val="24"/>
        </w:rPr>
        <w:t xml:space="preserve">ear old rates for this purpose, to using one or two year old rates, will adversely impact a significant number of Tribes, even if (as footnote 4 on </w:t>
      </w:r>
      <w:proofErr w:type="gramStart"/>
      <w:r>
        <w:rPr>
          <w:rFonts w:ascii="Times New Roman" w:hAnsi="Times New Roman"/>
          <w:sz w:val="24"/>
        </w:rPr>
        <w:t>page</w:t>
      </w:r>
      <w:proofErr w:type="gramEnd"/>
      <w:r>
        <w:rPr>
          <w:rFonts w:ascii="Times New Roman" w:hAnsi="Times New Roman"/>
          <w:sz w:val="24"/>
        </w:rPr>
        <w:t xml:space="preserve"> 16 indicates) there is a three-year transition period for this change to be implemented.  </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t>We urge the</w:t>
      </w:r>
      <w:r>
        <w:rPr>
          <w:rFonts w:ascii="Times New Roman" w:hAnsi="Times New Roman"/>
          <w:sz w:val="24"/>
        </w:rPr>
        <w:t xml:space="preserve"> agency to carefully monitor the impact of this change.  Given the relative stability of rates over time, we question whether the change is worth the substantial additional time it will take before final CSC amounts can be negotiated.  We also note that th</w:t>
      </w:r>
      <w:r>
        <w:rPr>
          <w:rFonts w:ascii="Times New Roman" w:hAnsi="Times New Roman"/>
          <w:sz w:val="24"/>
        </w:rPr>
        <w:t xml:space="preserve">e ability to </w:t>
      </w:r>
      <w:r>
        <w:rPr>
          <w:rFonts w:ascii="Times New Roman" w:hAnsi="Times New Roman"/>
          <w:sz w:val="24"/>
        </w:rPr>
        <w:lastRenderedPageBreak/>
        <w:t xml:space="preserve">obtain current rates may be heavily impacted by outside factors, such as whether the </w:t>
      </w:r>
      <w:proofErr w:type="gramStart"/>
      <w:r>
        <w:rPr>
          <w:rFonts w:ascii="Times New Roman" w:hAnsi="Times New Roman"/>
          <w:sz w:val="24"/>
        </w:rPr>
        <w:t>cognizant</w:t>
      </w:r>
      <w:proofErr w:type="gramEnd"/>
      <w:r>
        <w:rPr>
          <w:rFonts w:ascii="Times New Roman" w:hAnsi="Times New Roman"/>
          <w:sz w:val="24"/>
        </w:rPr>
        <w:t xml:space="preserve"> rate agencies are short-staffed.</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proofErr w:type="gramStart"/>
      <w:r>
        <w:rPr>
          <w:rFonts w:ascii="Times New Roman" w:hAnsi="Times New Roman"/>
          <w:sz w:val="24"/>
          <w:u w:val="single"/>
        </w:rPr>
        <w:t>Bilateral amendments</w:t>
      </w:r>
      <w:r>
        <w:rPr>
          <w:rFonts w:ascii="Times New Roman" w:hAnsi="Times New Roman"/>
          <w:sz w:val="24"/>
        </w:rPr>
        <w:t>.</w:t>
      </w:r>
      <w:proofErr w:type="gramEnd"/>
      <w:r>
        <w:rPr>
          <w:rFonts w:ascii="Times New Roman" w:hAnsi="Times New Roman"/>
          <w:sz w:val="24"/>
        </w:rPr>
        <w:t xml:space="preserve">  We support the new practice of doing post-year bilateral amendments to reflect finally-nego</w:t>
      </w:r>
      <w:r>
        <w:rPr>
          <w:rFonts w:ascii="Times New Roman" w:hAnsi="Times New Roman"/>
          <w:sz w:val="24"/>
        </w:rPr>
        <w:t>tiated CSC amounts (pages 16-17).  That said</w:t>
      </w:r>
      <w:proofErr w:type="gramStart"/>
      <w:r>
        <w:rPr>
          <w:rFonts w:ascii="Times New Roman" w:hAnsi="Times New Roman"/>
          <w:sz w:val="24"/>
        </w:rPr>
        <w:t>,</w:t>
      </w:r>
      <w:proofErr w:type="gramEnd"/>
      <w:r>
        <w:rPr>
          <w:rFonts w:ascii="Times New Roman" w:hAnsi="Times New Roman"/>
          <w:sz w:val="24"/>
        </w:rPr>
        <w:t xml:space="preserve"> this new practice will impose a substantial additional burden upon IHS, as well as tribal, personnel.  </w:t>
      </w:r>
    </w:p>
    <w:p w:rsidR="005810DF" w:rsidRDefault="00266114" w:rsidP="00210218">
      <w:pPr>
        <w:ind w:firstLine="720"/>
        <w:jc w:val="both"/>
        <w:rPr>
          <w:rFonts w:ascii="Times New Roman" w:hAnsi="Times New Roman"/>
          <w:sz w:val="24"/>
        </w:rPr>
      </w:pPr>
    </w:p>
    <w:p w:rsidR="005810DF" w:rsidRDefault="00266114" w:rsidP="00210218">
      <w:pPr>
        <w:ind w:firstLine="720"/>
        <w:jc w:val="both"/>
        <w:rPr>
          <w:rFonts w:ascii="Times New Roman" w:hAnsi="Times New Roman"/>
          <w:sz w:val="24"/>
        </w:rPr>
      </w:pPr>
      <w:proofErr w:type="gramStart"/>
      <w:r>
        <w:rPr>
          <w:rFonts w:ascii="Times New Roman" w:hAnsi="Times New Roman"/>
          <w:sz w:val="24"/>
          <w:u w:val="single"/>
        </w:rPr>
        <w:t>Overpayments</w:t>
      </w:r>
      <w:r>
        <w:rPr>
          <w:rFonts w:ascii="Times New Roman" w:hAnsi="Times New Roman"/>
          <w:sz w:val="24"/>
        </w:rPr>
        <w:t>.</w:t>
      </w:r>
      <w:proofErr w:type="gramEnd"/>
      <w:r>
        <w:rPr>
          <w:rFonts w:ascii="Times New Roman" w:hAnsi="Times New Roman"/>
          <w:sz w:val="24"/>
        </w:rPr>
        <w:t xml:space="preserve">  When the parties agree that the awardee was overpaid, the policy provides that the awardee</w:t>
      </w:r>
      <w:r>
        <w:rPr>
          <w:rFonts w:ascii="Times New Roman" w:hAnsi="Times New Roman"/>
          <w:sz w:val="24"/>
        </w:rPr>
        <w:t xml:space="preserve"> will either pay back IHS or IHS will apply the overpayment to the awardee’s CSC need in the subsequent year.  </w:t>
      </w:r>
      <w:proofErr w:type="gramStart"/>
      <w:r>
        <w:rPr>
          <w:rFonts w:ascii="Times New Roman" w:hAnsi="Times New Roman"/>
          <w:sz w:val="24"/>
        </w:rPr>
        <w:t>Section 6-3.2E.1.b.6.</w:t>
      </w:r>
      <w:proofErr w:type="gramEnd"/>
      <w:r>
        <w:rPr>
          <w:rFonts w:ascii="Times New Roman" w:hAnsi="Times New Roman"/>
          <w:sz w:val="24"/>
        </w:rPr>
        <w:t xml:space="preserve">  But this section needs to make clear that it is the </w:t>
      </w:r>
      <w:r>
        <w:rPr>
          <w:rFonts w:ascii="Times New Roman" w:hAnsi="Times New Roman"/>
          <w:i/>
          <w:sz w:val="24"/>
        </w:rPr>
        <w:t>awardee’s</w:t>
      </w:r>
      <w:r>
        <w:rPr>
          <w:rFonts w:ascii="Times New Roman" w:hAnsi="Times New Roman"/>
          <w:sz w:val="24"/>
        </w:rPr>
        <w:t xml:space="preserve"> option whether to reimburse or take the offset in the follow</w:t>
      </w:r>
      <w:r>
        <w:rPr>
          <w:rFonts w:ascii="Times New Roman" w:hAnsi="Times New Roman"/>
          <w:sz w:val="24"/>
        </w:rPr>
        <w:t xml:space="preserve">ing year.  Therefore we suggest revising the last sentence of section 6-3.2E.1.b.6 (page 17) to read as follows (new language underlined; removed language in strikethrough):  “If the awardee was overpaid, </w:t>
      </w:r>
      <w:r>
        <w:rPr>
          <w:rFonts w:ascii="Times New Roman" w:hAnsi="Times New Roman"/>
          <w:sz w:val="24"/>
          <w:u w:val="single"/>
        </w:rPr>
        <w:t>the awardee will have the option to</w:t>
      </w:r>
      <w:r>
        <w:rPr>
          <w:rFonts w:ascii="Times New Roman" w:hAnsi="Times New Roman"/>
          <w:sz w:val="24"/>
        </w:rPr>
        <w:t xml:space="preserve"> either (a) </w:t>
      </w:r>
      <w:r>
        <w:rPr>
          <w:rFonts w:ascii="Times New Roman" w:hAnsi="Times New Roman"/>
          <w:strike/>
          <w:sz w:val="24"/>
        </w:rPr>
        <w:t>it w</w:t>
      </w:r>
      <w:r>
        <w:rPr>
          <w:rFonts w:ascii="Times New Roman" w:hAnsi="Times New Roman"/>
          <w:strike/>
          <w:sz w:val="24"/>
        </w:rPr>
        <w:t>ill</w:t>
      </w:r>
      <w:r>
        <w:rPr>
          <w:rFonts w:ascii="Times New Roman" w:hAnsi="Times New Roman"/>
          <w:sz w:val="24"/>
        </w:rPr>
        <w:t xml:space="preserve"> reimburse IHS for the overpayment; or (b) </w:t>
      </w:r>
      <w:r>
        <w:rPr>
          <w:rFonts w:ascii="Times New Roman" w:hAnsi="Times New Roman"/>
          <w:sz w:val="24"/>
          <w:u w:val="single"/>
        </w:rPr>
        <w:t>agree that</w:t>
      </w:r>
      <w:r>
        <w:rPr>
          <w:rFonts w:ascii="Times New Roman" w:hAnsi="Times New Roman"/>
          <w:sz w:val="24"/>
        </w:rPr>
        <w:t xml:space="preserve"> IHS will apply the overpayment to the awardee’s CSC need in the subsequent year.”</w:t>
      </w:r>
    </w:p>
    <w:p w:rsidR="005810DF" w:rsidRDefault="00266114" w:rsidP="00210218">
      <w:pPr>
        <w:ind w:firstLine="720"/>
        <w:jc w:val="both"/>
        <w:rPr>
          <w:rFonts w:ascii="Times New Roman" w:hAnsi="Times New Roman"/>
          <w:sz w:val="24"/>
        </w:rPr>
      </w:pPr>
    </w:p>
    <w:p w:rsidR="005810DF" w:rsidRDefault="00266114" w:rsidP="00210218">
      <w:pPr>
        <w:ind w:firstLine="720"/>
        <w:jc w:val="both"/>
        <w:rPr>
          <w:rFonts w:ascii="Times New Roman" w:hAnsi="Times New Roman"/>
          <w:sz w:val="24"/>
        </w:rPr>
      </w:pPr>
      <w:proofErr w:type="gramStart"/>
      <w:r>
        <w:rPr>
          <w:rFonts w:ascii="Times New Roman" w:hAnsi="Times New Roman"/>
          <w:b/>
          <w:sz w:val="24"/>
        </w:rPr>
        <w:t>Negotiating Indirect-like Costs (pages 17, 57)</w:t>
      </w:r>
      <w:r>
        <w:rPr>
          <w:rFonts w:ascii="Times New Roman" w:hAnsi="Times New Roman"/>
          <w:sz w:val="24"/>
        </w:rPr>
        <w:t>.</w:t>
      </w:r>
      <w:proofErr w:type="gramEnd"/>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t>We are pleased to see IHS retain language on page 17 and in Exhibit</w:t>
      </w:r>
      <w:r>
        <w:rPr>
          <w:rFonts w:ascii="Times New Roman" w:hAnsi="Times New Roman"/>
          <w:sz w:val="24"/>
        </w:rPr>
        <w:t xml:space="preserve"> H (page 57 and footnote 14) recognizing the right of a Tribe to negotiate indirect-like costs even if the Tribe is also receiving indirect CSC amounts as a result of having an indirect cost rate.  A Tribe often has a relatively low indirect cost rate beca</w:t>
      </w:r>
      <w:r>
        <w:rPr>
          <w:rFonts w:ascii="Times New Roman" w:hAnsi="Times New Roman"/>
          <w:sz w:val="24"/>
        </w:rPr>
        <w:t>use indirect-type functions that the agency should be funding are simply not included in the Tribe’s IDC pool for reasons that have nothing to do with the IHS program.  Since the ISDA does not condition payment of administrative CSC based upon a Tribe’s co</w:t>
      </w:r>
      <w:r>
        <w:rPr>
          <w:rFonts w:ascii="Times New Roman" w:hAnsi="Times New Roman"/>
          <w:sz w:val="24"/>
        </w:rPr>
        <w:t>st allocation system between indirect costs and direct costs, direct costs that are administrative in nature should be payable under the Act regardless of how they are classified.  Language on page 17 and page 57 of Exhibit H, together with footnote 14, as</w:t>
      </w:r>
      <w:r>
        <w:rPr>
          <w:rFonts w:ascii="Times New Roman" w:hAnsi="Times New Roman"/>
          <w:sz w:val="24"/>
        </w:rPr>
        <w:t xml:space="preserve">sure such Tribes will enjoy this right going forward.  </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b/>
          <w:sz w:val="24"/>
        </w:rPr>
      </w:pPr>
      <w:r>
        <w:rPr>
          <w:rFonts w:ascii="Times New Roman" w:hAnsi="Times New Roman"/>
          <w:b/>
          <w:sz w:val="24"/>
        </w:rPr>
        <w:t>Annual Funding Report to Tribes (page 23-24).</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t>We are pleased to see IHS make clear that it will produce a funding report that is independent of any reports due to Congress, and that the funding report to Tribes will be provided annually to the Tribes regardless of any delays associated with issuance o</w:t>
      </w:r>
      <w:r>
        <w:rPr>
          <w:rFonts w:ascii="Times New Roman" w:hAnsi="Times New Roman"/>
          <w:sz w:val="24"/>
        </w:rPr>
        <w:t xml:space="preserve">f any congressional report.  The two reports are entirely separate, and the special clearance process for issuing reports to Congress should not delay the release of financial expenditure data.  Receiving such data on a timely basis is critical for Tribes </w:t>
      </w:r>
      <w:r>
        <w:rPr>
          <w:rFonts w:ascii="Times New Roman" w:hAnsi="Times New Roman"/>
          <w:sz w:val="24"/>
        </w:rPr>
        <w:t xml:space="preserve">to provide meaningful and timely input to IHS on contract support cost issues.  </w:t>
      </w:r>
    </w:p>
    <w:p w:rsidR="005810DF" w:rsidRDefault="00266114" w:rsidP="00210218">
      <w:pPr>
        <w:jc w:val="both"/>
        <w:rPr>
          <w:rFonts w:ascii="Times New Roman" w:hAnsi="Times New Roman"/>
          <w:sz w:val="24"/>
        </w:rPr>
      </w:pPr>
    </w:p>
    <w:p w:rsidR="005810DF" w:rsidRDefault="00266114" w:rsidP="00210218">
      <w:pPr>
        <w:ind w:left="720"/>
        <w:jc w:val="both"/>
        <w:rPr>
          <w:rFonts w:ascii="Times New Roman" w:hAnsi="Times New Roman"/>
          <w:b/>
          <w:sz w:val="24"/>
        </w:rPr>
      </w:pPr>
      <w:proofErr w:type="gramStart"/>
      <w:r>
        <w:rPr>
          <w:rFonts w:ascii="Times New Roman" w:hAnsi="Times New Roman"/>
          <w:b/>
          <w:sz w:val="24"/>
        </w:rPr>
        <w:t>CSC on Federal Programs, Services, Functions or Activities Supported with Third</w:t>
      </w:r>
      <w:r>
        <w:rPr>
          <w:rFonts w:ascii="Times New Roman" w:hAnsi="Times New Roman"/>
          <w:b/>
          <w:sz w:val="24"/>
        </w:rPr>
        <w:t>-</w:t>
      </w:r>
      <w:r>
        <w:rPr>
          <w:rFonts w:ascii="Times New Roman" w:hAnsi="Times New Roman"/>
          <w:b/>
          <w:sz w:val="24"/>
        </w:rPr>
        <w:t xml:space="preserve"> Party Revenues, and on MSPI/SASP, DVPI and CHEF funds.</w:t>
      </w:r>
      <w:proofErr w:type="gramEnd"/>
      <w:r>
        <w:rPr>
          <w:rFonts w:ascii="Times New Roman" w:hAnsi="Times New Roman"/>
          <w:b/>
          <w:sz w:val="24"/>
        </w:rPr>
        <w:t xml:space="preserve"> </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t>We believe the agency is required by law to add CSC funding to support the delivery of Federal programs, services, functions, or activities that are paid for with third-party revenues (page 55, note 12), as well as on MSPI/SASP, DVPI, and CHEF funds.  We a</w:t>
      </w:r>
      <w:r>
        <w:rPr>
          <w:rFonts w:ascii="Times New Roman" w:hAnsi="Times New Roman"/>
          <w:sz w:val="24"/>
        </w:rPr>
        <w:t xml:space="preserve">ppreciate that the </w:t>
      </w:r>
      <w:r>
        <w:rPr>
          <w:rFonts w:ascii="Times New Roman" w:hAnsi="Times New Roman"/>
          <w:sz w:val="24"/>
        </w:rPr>
        <w:lastRenderedPageBreak/>
        <w:t>agency disagrees with Tribes on this issue, and further appreciate that the proposed Chapter leaves this issue unresolved.  In some instances, congressional clarification may be warranted; in others, only litigation may be able to resolv</w:t>
      </w:r>
      <w:r>
        <w:rPr>
          <w:rFonts w:ascii="Times New Roman" w:hAnsi="Times New Roman"/>
          <w:sz w:val="24"/>
        </w:rPr>
        <w:t>e the issue.  Correctly, the Manual remains neutral on these issues.</w:t>
      </w:r>
    </w:p>
    <w:p w:rsidR="005810DF" w:rsidRDefault="00266114" w:rsidP="00210218">
      <w:pPr>
        <w:ind w:firstLine="720"/>
        <w:jc w:val="both"/>
        <w:rPr>
          <w:rFonts w:ascii="Times New Roman" w:hAnsi="Times New Roman"/>
          <w:sz w:val="24"/>
        </w:rPr>
      </w:pPr>
    </w:p>
    <w:p w:rsidR="005810DF" w:rsidRDefault="00266114" w:rsidP="00210218">
      <w:pPr>
        <w:ind w:firstLine="720"/>
        <w:jc w:val="both"/>
        <w:outlineLvl w:val="0"/>
        <w:rPr>
          <w:rFonts w:ascii="Times New Roman" w:hAnsi="Times New Roman"/>
          <w:b/>
          <w:sz w:val="24"/>
        </w:rPr>
      </w:pPr>
      <w:proofErr w:type="gramStart"/>
      <w:r>
        <w:rPr>
          <w:rFonts w:ascii="Times New Roman" w:hAnsi="Times New Roman"/>
          <w:b/>
          <w:sz w:val="24"/>
        </w:rPr>
        <w:t>Impact on</w:t>
      </w:r>
      <w:r>
        <w:rPr>
          <w:rFonts w:ascii="Times New Roman" w:hAnsi="Times New Roman"/>
          <w:b/>
          <w:sz w:val="24"/>
        </w:rPr>
        <w:t xml:space="preserve"> Ratemaking </w:t>
      </w:r>
      <w:r>
        <w:rPr>
          <w:rFonts w:ascii="Times New Roman" w:hAnsi="Times New Roman"/>
          <w:b/>
          <w:sz w:val="24"/>
        </w:rPr>
        <w:t>Process</w:t>
      </w:r>
      <w:r>
        <w:rPr>
          <w:rFonts w:ascii="Times New Roman" w:hAnsi="Times New Roman"/>
          <w:b/>
          <w:sz w:val="24"/>
        </w:rPr>
        <w:t>.</w:t>
      </w:r>
      <w:proofErr w:type="gramEnd"/>
    </w:p>
    <w:p w:rsidR="005810DF" w:rsidRDefault="00266114" w:rsidP="00210218">
      <w:pPr>
        <w:ind w:firstLine="720"/>
        <w:jc w:val="both"/>
        <w:outlineLvl w:val="0"/>
        <w:rPr>
          <w:rFonts w:ascii="Times New Roman" w:hAnsi="Times New Roman"/>
          <w:sz w:val="24"/>
        </w:rPr>
      </w:pPr>
    </w:p>
    <w:p w:rsidR="005810DF" w:rsidRDefault="00266114" w:rsidP="00210218">
      <w:pPr>
        <w:ind w:firstLine="720"/>
        <w:jc w:val="both"/>
        <w:outlineLvl w:val="0"/>
        <w:rPr>
          <w:rFonts w:ascii="Times New Roman" w:hAnsi="Times New Roman"/>
          <w:sz w:val="24"/>
        </w:rPr>
      </w:pPr>
      <w:r>
        <w:rPr>
          <w:rFonts w:ascii="Times New Roman" w:hAnsi="Times New Roman"/>
          <w:sz w:val="24"/>
        </w:rPr>
        <w:t>The IHS CSC policy affects not only awardees’ relationships with IHS, but also with the cognizant agencies charged with negotiating indirect cost rates, wh</w:t>
      </w:r>
      <w:r>
        <w:rPr>
          <w:rFonts w:ascii="Times New Roman" w:hAnsi="Times New Roman"/>
          <w:sz w:val="24"/>
        </w:rPr>
        <w:t xml:space="preserve">ich in turn affects awardees’ relationships with every other federal agency with which they interact.  </w:t>
      </w:r>
      <w:r>
        <w:rPr>
          <w:rFonts w:ascii="Times New Roman" w:hAnsi="Times New Roman"/>
          <w:sz w:val="24"/>
        </w:rPr>
        <w:t xml:space="preserve">This policy raises additional questions, such as </w:t>
      </w:r>
      <w:r>
        <w:rPr>
          <w:rFonts w:ascii="Times New Roman" w:hAnsi="Times New Roman"/>
          <w:sz w:val="24"/>
        </w:rPr>
        <w:t xml:space="preserve">how </w:t>
      </w:r>
      <w:r>
        <w:rPr>
          <w:rFonts w:ascii="Times New Roman" w:hAnsi="Times New Roman"/>
          <w:sz w:val="24"/>
        </w:rPr>
        <w:t xml:space="preserve">these agencies </w:t>
      </w:r>
      <w:r>
        <w:rPr>
          <w:rFonts w:ascii="Times New Roman" w:hAnsi="Times New Roman"/>
          <w:sz w:val="24"/>
        </w:rPr>
        <w:t xml:space="preserve">would </w:t>
      </w:r>
      <w:r>
        <w:rPr>
          <w:rFonts w:ascii="Times New Roman" w:hAnsi="Times New Roman"/>
          <w:sz w:val="24"/>
        </w:rPr>
        <w:t xml:space="preserve">deal with </w:t>
      </w:r>
      <w:r>
        <w:rPr>
          <w:rFonts w:ascii="Times New Roman" w:hAnsi="Times New Roman"/>
          <w:sz w:val="24"/>
        </w:rPr>
        <w:t>the CSC policy’s treatment of overpayments during the year-end reconc</w:t>
      </w:r>
      <w:r>
        <w:rPr>
          <w:rFonts w:ascii="Times New Roman" w:hAnsi="Times New Roman"/>
          <w:sz w:val="24"/>
        </w:rPr>
        <w:t>iliation process—requiring either repayment to IHS or application of the overpayment to the CSC need in the subsequent year—</w:t>
      </w:r>
      <w:r>
        <w:rPr>
          <w:rFonts w:ascii="Times New Roman" w:hAnsi="Times New Roman"/>
          <w:sz w:val="24"/>
        </w:rPr>
        <w:t xml:space="preserve">which will necessarily </w:t>
      </w:r>
      <w:r>
        <w:rPr>
          <w:rFonts w:ascii="Times New Roman" w:hAnsi="Times New Roman"/>
          <w:sz w:val="24"/>
        </w:rPr>
        <w:t>affect the cognizant agency’s carryforward calculation or final rate determination</w:t>
      </w:r>
      <w:r>
        <w:rPr>
          <w:rFonts w:ascii="Times New Roman" w:hAnsi="Times New Roman"/>
          <w:sz w:val="24"/>
        </w:rPr>
        <w:t>.</w:t>
      </w:r>
      <w:r>
        <w:rPr>
          <w:rFonts w:ascii="Times New Roman" w:hAnsi="Times New Roman"/>
          <w:sz w:val="24"/>
        </w:rPr>
        <w:t xml:space="preserve">  </w:t>
      </w:r>
    </w:p>
    <w:p w:rsidR="005810DF" w:rsidRDefault="00266114" w:rsidP="00210218">
      <w:pPr>
        <w:ind w:firstLine="720"/>
        <w:jc w:val="both"/>
        <w:outlineLvl w:val="0"/>
        <w:rPr>
          <w:rFonts w:ascii="Times New Roman" w:hAnsi="Times New Roman"/>
          <w:sz w:val="24"/>
        </w:rPr>
      </w:pPr>
    </w:p>
    <w:p w:rsidR="005810DF" w:rsidRDefault="00266114" w:rsidP="00210218">
      <w:pPr>
        <w:ind w:firstLine="720"/>
        <w:jc w:val="both"/>
        <w:outlineLvl w:val="0"/>
        <w:rPr>
          <w:rFonts w:ascii="Times New Roman" w:hAnsi="Times New Roman"/>
          <w:sz w:val="24"/>
        </w:rPr>
      </w:pPr>
      <w:proofErr w:type="gramStart"/>
      <w:r>
        <w:rPr>
          <w:rFonts w:ascii="Times New Roman" w:hAnsi="Times New Roman"/>
          <w:b/>
          <w:sz w:val="24"/>
        </w:rPr>
        <w:t>Training</w:t>
      </w:r>
      <w:r>
        <w:rPr>
          <w:rFonts w:ascii="Times New Roman" w:hAnsi="Times New Roman"/>
          <w:b/>
          <w:sz w:val="24"/>
        </w:rPr>
        <w:t>.</w:t>
      </w:r>
      <w:proofErr w:type="gramEnd"/>
    </w:p>
    <w:p w:rsidR="005810DF" w:rsidRDefault="00266114" w:rsidP="00210218">
      <w:pPr>
        <w:ind w:firstLine="720"/>
        <w:jc w:val="both"/>
        <w:outlineLvl w:val="0"/>
        <w:rPr>
          <w:rFonts w:ascii="Times New Roman" w:hAnsi="Times New Roman"/>
          <w:sz w:val="24"/>
        </w:rPr>
      </w:pPr>
    </w:p>
    <w:p w:rsidR="005810DF" w:rsidRDefault="00266114" w:rsidP="00210218">
      <w:pPr>
        <w:ind w:firstLine="720"/>
        <w:jc w:val="both"/>
        <w:outlineLvl w:val="0"/>
        <w:rPr>
          <w:rFonts w:ascii="Times New Roman" w:hAnsi="Times New Roman"/>
          <w:sz w:val="24"/>
        </w:rPr>
      </w:pPr>
      <w:r>
        <w:rPr>
          <w:rFonts w:ascii="Times New Roman" w:hAnsi="Times New Roman"/>
          <w:sz w:val="24"/>
        </w:rPr>
        <w:t xml:space="preserve">The policy </w:t>
      </w:r>
      <w:r>
        <w:rPr>
          <w:rFonts w:ascii="Times New Roman" w:hAnsi="Times New Roman"/>
          <w:sz w:val="24"/>
        </w:rPr>
        <w:t>is so long, complex, and daunting that non-expert tribal leaders and staff—not to mention IHS negotiators—can be expected to have difficulty understanding and applying it.  A thorough and thoughtful training curriculum for both tribal and IHS personnel sho</w:t>
      </w:r>
      <w:r>
        <w:rPr>
          <w:rFonts w:ascii="Times New Roman" w:hAnsi="Times New Roman"/>
          <w:sz w:val="24"/>
        </w:rPr>
        <w:t>uld already be under development.  One of the Guiding Principles is that the policy “will be supplemented with regular training for IHS and Tribal personnel to assure consistency in its application” (page 4).  This needs to happen early and often.  We reco</w:t>
      </w:r>
      <w:r>
        <w:rPr>
          <w:rFonts w:ascii="Times New Roman" w:hAnsi="Times New Roman"/>
          <w:sz w:val="24"/>
        </w:rPr>
        <w:t xml:space="preserve">mmend that IHS seek input from the Workgroup on the best ways to make the necessary training available to federal and tribal staff.  </w:t>
      </w:r>
    </w:p>
    <w:p w:rsidR="005810DF" w:rsidRDefault="00266114" w:rsidP="00210218">
      <w:pPr>
        <w:ind w:firstLine="720"/>
        <w:jc w:val="both"/>
        <w:outlineLvl w:val="0"/>
        <w:rPr>
          <w:rFonts w:ascii="Times New Roman" w:hAnsi="Times New Roman"/>
          <w:sz w:val="24"/>
        </w:rPr>
      </w:pPr>
    </w:p>
    <w:p w:rsidR="005810DF" w:rsidRDefault="00266114" w:rsidP="00210218">
      <w:pPr>
        <w:ind w:firstLine="720"/>
        <w:jc w:val="both"/>
        <w:rPr>
          <w:rFonts w:ascii="Times New Roman" w:hAnsi="Times New Roman"/>
          <w:b/>
          <w:sz w:val="24"/>
        </w:rPr>
      </w:pPr>
      <w:proofErr w:type="gramStart"/>
      <w:r>
        <w:rPr>
          <w:rFonts w:ascii="Times New Roman" w:hAnsi="Times New Roman"/>
          <w:b/>
          <w:sz w:val="24"/>
        </w:rPr>
        <w:t>Other Issues.</w:t>
      </w:r>
      <w:proofErr w:type="gramEnd"/>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proofErr w:type="gramStart"/>
      <w:r>
        <w:rPr>
          <w:rFonts w:ascii="Times New Roman" w:hAnsi="Times New Roman"/>
          <w:sz w:val="24"/>
          <w:u w:val="single"/>
        </w:rPr>
        <w:t>Calculation Template</w:t>
      </w:r>
      <w:r>
        <w:rPr>
          <w:rFonts w:ascii="Times New Roman" w:hAnsi="Times New Roman"/>
          <w:sz w:val="24"/>
        </w:rPr>
        <w:t>.</w:t>
      </w:r>
      <w:proofErr w:type="gramEnd"/>
      <w:r>
        <w:rPr>
          <w:rFonts w:ascii="Times New Roman" w:hAnsi="Times New Roman"/>
          <w:sz w:val="24"/>
        </w:rPr>
        <w:t xml:space="preserve">  We are pleased to see that the agency and tribal representatives have reached agree</w:t>
      </w:r>
      <w:r>
        <w:rPr>
          <w:rFonts w:ascii="Times New Roman" w:hAnsi="Times New Roman"/>
          <w:sz w:val="24"/>
        </w:rPr>
        <w:t>ment on a summary worksheet showing the basic math behind the CSC calculation process (Exhibit F, page 37).  However, we are concerned that the various tabs which feed into that summary sheet (which is part of an excel workbook) have not been included beca</w:t>
      </w:r>
      <w:r>
        <w:rPr>
          <w:rFonts w:ascii="Times New Roman" w:hAnsi="Times New Roman"/>
          <w:sz w:val="24"/>
        </w:rPr>
        <w:t>use they have not yet been negotiated.  We urge the agency to make the negotiation of those templates its very highest priority.</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t>In so doing, we call to the agency’s attention our strong opposition to some of the assumptions and limiting principles reflec</w:t>
      </w:r>
      <w:r>
        <w:rPr>
          <w:rFonts w:ascii="Times New Roman" w:hAnsi="Times New Roman"/>
          <w:sz w:val="24"/>
        </w:rPr>
        <w:t xml:space="preserve">ted in those tabs.  </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t>For instance, the tabs demand a federal duplication credit of 25.89% against tribal fringe benefit requirements, even though the calculation of the federal credit is severely inflated by the treatment of substantial salary benefits su</w:t>
      </w:r>
      <w:r>
        <w:rPr>
          <w:rFonts w:ascii="Times New Roman" w:hAnsi="Times New Roman"/>
          <w:sz w:val="24"/>
        </w:rPr>
        <w:t>ch as housing and special pays as fringe amounts.  It is deeply disturbing that at no time have IHS personnel disclosed to the CSC workgroup how the agency arrived at the 25.89% computation.  We ask that the agency revisit this position in an open and coll</w:t>
      </w:r>
      <w:r>
        <w:rPr>
          <w:rFonts w:ascii="Times New Roman" w:hAnsi="Times New Roman"/>
          <w:sz w:val="24"/>
        </w:rPr>
        <w:t>aborative manner so that agreement can be reached (and potential litigation avoided) on the appropriate federal fringe benefit offset calculation.</w:t>
      </w:r>
    </w:p>
    <w:p w:rsidR="005810DF" w:rsidRDefault="00266114" w:rsidP="00210218">
      <w:pPr>
        <w:jc w:val="both"/>
        <w:rPr>
          <w:rFonts w:ascii="Times New Roman" w:hAnsi="Times New Roman"/>
          <w:sz w:val="24"/>
        </w:rPr>
      </w:pPr>
    </w:p>
    <w:p w:rsidR="005810DF" w:rsidRDefault="00266114" w:rsidP="00210218">
      <w:pPr>
        <w:ind w:firstLine="720"/>
        <w:jc w:val="both"/>
        <w:rPr>
          <w:rFonts w:ascii="Times New Roman" w:hAnsi="Times New Roman"/>
          <w:sz w:val="24"/>
        </w:rPr>
      </w:pPr>
      <w:r>
        <w:rPr>
          <w:rFonts w:ascii="Times New Roman" w:hAnsi="Times New Roman"/>
          <w:sz w:val="24"/>
        </w:rPr>
        <w:lastRenderedPageBreak/>
        <w:t>Another area of concern is the agency’s unilateral cap on salaries as a proportion of programs, at 62%.  Her</w:t>
      </w:r>
      <w:r>
        <w:rPr>
          <w:rFonts w:ascii="Times New Roman" w:hAnsi="Times New Roman"/>
          <w:sz w:val="24"/>
        </w:rPr>
        <w:t>e, again, the agency has never shared with the CSC workgroup the data behind this limitation, nor explained why a national computation is appropriate as a flat rule for all contracting circumstances.  Here, too, we ask that the agency revisit this position</w:t>
      </w:r>
      <w:r>
        <w:rPr>
          <w:rFonts w:ascii="Times New Roman" w:hAnsi="Times New Roman"/>
          <w:sz w:val="24"/>
        </w:rPr>
        <w:t xml:space="preserve"> with Tribes in an open and collaborative manner.</w:t>
      </w:r>
    </w:p>
    <w:p w:rsidR="005810DF" w:rsidRDefault="00266114" w:rsidP="00210218">
      <w:pPr>
        <w:jc w:val="both"/>
        <w:rPr>
          <w:rFonts w:ascii="Times New Roman" w:hAnsi="Times New Roman"/>
          <w:sz w:val="24"/>
        </w:rPr>
      </w:pPr>
    </w:p>
    <w:p w:rsidR="005810DF" w:rsidRDefault="00266114" w:rsidP="00210218">
      <w:pPr>
        <w:jc w:val="both"/>
        <w:rPr>
          <w:rFonts w:ascii="Times New Roman" w:hAnsi="Times New Roman"/>
          <w:sz w:val="24"/>
        </w:rPr>
      </w:pPr>
      <w:r>
        <w:rPr>
          <w:rFonts w:ascii="Times New Roman" w:hAnsi="Times New Roman"/>
          <w:sz w:val="24"/>
        </w:rPr>
        <w:tab/>
        <w:t>There are a number of other tabs that have not been shared with the workgroup in quite some time so it is impossible to discern if they reflect other areas of disagreement.  Therefore, we suggest that any</w:t>
      </w:r>
      <w:r>
        <w:rPr>
          <w:rFonts w:ascii="Times New Roman" w:hAnsi="Times New Roman"/>
          <w:sz w:val="24"/>
        </w:rPr>
        <w:t xml:space="preserve"> additional tabs be developed collaboratively by the workgroup before being put into use by agency officials.</w:t>
      </w:r>
    </w:p>
    <w:p w:rsidR="005810DF" w:rsidRDefault="00266114" w:rsidP="00210218">
      <w:pPr>
        <w:jc w:val="both"/>
        <w:rPr>
          <w:rFonts w:ascii="Times New Roman" w:hAnsi="Times New Roman"/>
          <w:sz w:val="24"/>
        </w:rPr>
      </w:pPr>
    </w:p>
    <w:p w:rsidR="005810DF" w:rsidRDefault="00266114" w:rsidP="00DC19EF">
      <w:pPr>
        <w:jc w:val="center"/>
        <w:rPr>
          <w:rFonts w:ascii="Times New Roman" w:hAnsi="Times New Roman"/>
          <w:sz w:val="24"/>
        </w:rPr>
      </w:pPr>
      <w:r>
        <w:rPr>
          <w:rFonts w:ascii="Times New Roman" w:hAnsi="Times New Roman"/>
          <w:sz w:val="24"/>
        </w:rPr>
        <w:t>*</w:t>
      </w:r>
      <w:r>
        <w:rPr>
          <w:rFonts w:ascii="Times New Roman" w:hAnsi="Times New Roman"/>
          <w:sz w:val="24"/>
        </w:rPr>
        <w:tab/>
        <w:t>*</w:t>
      </w:r>
      <w:r>
        <w:rPr>
          <w:rFonts w:ascii="Times New Roman" w:hAnsi="Times New Roman"/>
          <w:sz w:val="24"/>
        </w:rPr>
        <w:tab/>
        <w:t>*</w:t>
      </w:r>
    </w:p>
    <w:p w:rsidR="005810DF" w:rsidRDefault="00266114" w:rsidP="00210218">
      <w:pPr>
        <w:jc w:val="both"/>
        <w:rPr>
          <w:rFonts w:ascii="Times New Roman" w:hAnsi="Times New Roman"/>
          <w:sz w:val="24"/>
        </w:rPr>
      </w:pPr>
    </w:p>
    <w:p w:rsidR="005810DF" w:rsidRDefault="00266114" w:rsidP="00210218">
      <w:pPr>
        <w:jc w:val="both"/>
        <w:rPr>
          <w:rFonts w:ascii="Times New Roman" w:hAnsi="Times New Roman"/>
          <w:sz w:val="24"/>
        </w:rPr>
      </w:pPr>
      <w:r>
        <w:rPr>
          <w:rFonts w:ascii="Times New Roman" w:hAnsi="Times New Roman"/>
          <w:sz w:val="24"/>
        </w:rPr>
        <w:t xml:space="preserve">      We thank you for the opportunity to submit comments on this proposed draft Chapter.</w:t>
      </w:r>
    </w:p>
    <w:p w:rsidR="005810DF" w:rsidRDefault="00266114" w:rsidP="00210218">
      <w:pPr>
        <w:jc w:val="both"/>
        <w:rPr>
          <w:rFonts w:ascii="Times New Roman" w:hAnsi="Times New Roman"/>
          <w:sz w:val="24"/>
        </w:rPr>
      </w:pPr>
    </w:p>
    <w:p w:rsidR="005810DF" w:rsidRDefault="00266114" w:rsidP="00210218">
      <w:pPr>
        <w:jc w:val="both"/>
      </w:pPr>
      <w:r>
        <w:rPr>
          <w:rFonts w:ascii="Times New Roman" w:hAnsi="Times New Roman"/>
          <w:sz w:val="24"/>
        </w:rPr>
        <w:t xml:space="preserve">     [</w:t>
      </w:r>
      <w:proofErr w:type="gramStart"/>
      <w:r>
        <w:rPr>
          <w:rFonts w:ascii="Times New Roman" w:hAnsi="Times New Roman"/>
          <w:sz w:val="24"/>
        </w:rPr>
        <w:t>insert</w:t>
      </w:r>
      <w:proofErr w:type="gramEnd"/>
      <w:r>
        <w:rPr>
          <w:rFonts w:ascii="Times New Roman" w:hAnsi="Times New Roman"/>
          <w:sz w:val="24"/>
        </w:rPr>
        <w:t xml:space="preserve"> closing/signature]</w:t>
      </w:r>
    </w:p>
    <w:sectPr w:rsidR="005810D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114" w:rsidRDefault="00266114" w:rsidP="00D476AB">
      <w:r>
        <w:separator/>
      </w:r>
    </w:p>
  </w:endnote>
  <w:endnote w:type="continuationSeparator" w:id="0">
    <w:p w:rsidR="00266114" w:rsidRDefault="00266114" w:rsidP="00D47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114" w:rsidRDefault="00266114" w:rsidP="00D476AB">
      <w:r>
        <w:separator/>
      </w:r>
    </w:p>
  </w:footnote>
  <w:footnote w:type="continuationSeparator" w:id="0">
    <w:p w:rsidR="00266114" w:rsidRDefault="00266114" w:rsidP="00D47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6AB" w:rsidRPr="00D476AB" w:rsidRDefault="00D476AB" w:rsidP="00D476AB">
    <w:pPr>
      <w:pStyle w:val="Header"/>
      <w:jc w:val="right"/>
      <w:rPr>
        <w:rFonts w:ascii="Arial" w:hAnsi="Arial" w:cs="Arial"/>
        <w:b/>
        <w:sz w:val="52"/>
        <w:szCs w:val="48"/>
      </w:rPr>
    </w:pPr>
    <w:r w:rsidRPr="00D476AB">
      <w:rPr>
        <w:rFonts w:ascii="Arial" w:hAnsi="Arial" w:cs="Arial"/>
        <w:b/>
        <w:sz w:val="52"/>
        <w:szCs w:val="48"/>
      </w:rPr>
      <w:t>3M</w:t>
    </w:r>
  </w:p>
  <w:p w:rsidR="00D476AB" w:rsidRDefault="00D476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350D5"/>
    <w:multiLevelType w:val="hybridMultilevel"/>
    <w:tmpl w:val="A6C20260"/>
    <w:lvl w:ilvl="0" w:tplc="25C69684">
      <w:start w:val="1"/>
      <w:numFmt w:val="bullet"/>
      <w:lvlText w:val=""/>
      <w:lvlJc w:val="left"/>
      <w:pPr>
        <w:ind w:left="720" w:hanging="360"/>
      </w:pPr>
      <w:rPr>
        <w:rFonts w:ascii="Symbol" w:hAnsi="Symbol" w:hint="default"/>
      </w:rPr>
    </w:lvl>
    <w:lvl w:ilvl="1" w:tplc="E04A136E" w:tentative="1">
      <w:start w:val="1"/>
      <w:numFmt w:val="bullet"/>
      <w:lvlText w:val="o"/>
      <w:lvlJc w:val="left"/>
      <w:pPr>
        <w:ind w:left="1440" w:hanging="360"/>
      </w:pPr>
      <w:rPr>
        <w:rFonts w:ascii="Courier New" w:hAnsi="Courier New" w:cs="Courier New" w:hint="default"/>
      </w:rPr>
    </w:lvl>
    <w:lvl w:ilvl="2" w:tplc="E8B64820" w:tentative="1">
      <w:start w:val="1"/>
      <w:numFmt w:val="bullet"/>
      <w:lvlText w:val=""/>
      <w:lvlJc w:val="left"/>
      <w:pPr>
        <w:ind w:left="2160" w:hanging="360"/>
      </w:pPr>
      <w:rPr>
        <w:rFonts w:ascii="Wingdings" w:hAnsi="Wingdings" w:hint="default"/>
      </w:rPr>
    </w:lvl>
    <w:lvl w:ilvl="3" w:tplc="7FE6FE4C" w:tentative="1">
      <w:start w:val="1"/>
      <w:numFmt w:val="bullet"/>
      <w:lvlText w:val=""/>
      <w:lvlJc w:val="left"/>
      <w:pPr>
        <w:ind w:left="2880" w:hanging="360"/>
      </w:pPr>
      <w:rPr>
        <w:rFonts w:ascii="Symbol" w:hAnsi="Symbol" w:hint="default"/>
      </w:rPr>
    </w:lvl>
    <w:lvl w:ilvl="4" w:tplc="47DE9C72" w:tentative="1">
      <w:start w:val="1"/>
      <w:numFmt w:val="bullet"/>
      <w:lvlText w:val="o"/>
      <w:lvlJc w:val="left"/>
      <w:pPr>
        <w:ind w:left="3600" w:hanging="360"/>
      </w:pPr>
      <w:rPr>
        <w:rFonts w:ascii="Courier New" w:hAnsi="Courier New" w:cs="Courier New" w:hint="default"/>
      </w:rPr>
    </w:lvl>
    <w:lvl w:ilvl="5" w:tplc="3FE21332" w:tentative="1">
      <w:start w:val="1"/>
      <w:numFmt w:val="bullet"/>
      <w:lvlText w:val=""/>
      <w:lvlJc w:val="left"/>
      <w:pPr>
        <w:ind w:left="4320" w:hanging="360"/>
      </w:pPr>
      <w:rPr>
        <w:rFonts w:ascii="Wingdings" w:hAnsi="Wingdings" w:hint="default"/>
      </w:rPr>
    </w:lvl>
    <w:lvl w:ilvl="6" w:tplc="BED2069C" w:tentative="1">
      <w:start w:val="1"/>
      <w:numFmt w:val="bullet"/>
      <w:lvlText w:val=""/>
      <w:lvlJc w:val="left"/>
      <w:pPr>
        <w:ind w:left="5040" w:hanging="360"/>
      </w:pPr>
      <w:rPr>
        <w:rFonts w:ascii="Symbol" w:hAnsi="Symbol" w:hint="default"/>
      </w:rPr>
    </w:lvl>
    <w:lvl w:ilvl="7" w:tplc="088EAF96" w:tentative="1">
      <w:start w:val="1"/>
      <w:numFmt w:val="bullet"/>
      <w:lvlText w:val="o"/>
      <w:lvlJc w:val="left"/>
      <w:pPr>
        <w:ind w:left="5760" w:hanging="360"/>
      </w:pPr>
      <w:rPr>
        <w:rFonts w:ascii="Courier New" w:hAnsi="Courier New" w:cs="Courier New" w:hint="default"/>
      </w:rPr>
    </w:lvl>
    <w:lvl w:ilvl="8" w:tplc="9738A5E8"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6AB"/>
    <w:rsid w:val="00266114"/>
    <w:rsid w:val="00D47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Tahoma" w:eastAsia="Times New Roman" w:hAnsi="Tahoma" w:cs="Times New Roman"/>
      <w:sz w:val="1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ahoma" w:eastAsia="Times New Roman" w:hAnsi="Tahoma"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ahoma" w:eastAsia="Times New Roman" w:hAnsi="Tahoma" w:cs="Times New Roman"/>
      <w:b/>
      <w:bCs/>
      <w:sz w:val="20"/>
      <w:szCs w:val="20"/>
    </w:rPr>
  </w:style>
  <w:style w:type="paragraph" w:styleId="FootnoteText">
    <w:name w:val="footnote text"/>
    <w:basedOn w:val="Normal"/>
    <w:link w:val="FootnoteTextChar"/>
    <w:semiHidden/>
    <w:rPr>
      <w:rFonts w:ascii="Times New Roman" w:hAnsi="Times New Roman"/>
      <w:sz w:val="20"/>
      <w:szCs w:val="20"/>
    </w:rPr>
  </w:style>
  <w:style w:type="character" w:customStyle="1" w:styleId="FootnoteTextChar">
    <w:name w:val="Footnote Text Char"/>
    <w:basedOn w:val="DefaultParagraphFont"/>
    <w:link w:val="FootnoteText"/>
    <w:semiHidden/>
    <w:rPr>
      <w:rFonts w:eastAsia="Times New Roman" w:cs="Times New Roman"/>
      <w:sz w:val="20"/>
      <w:szCs w:val="20"/>
    </w:rPr>
  </w:style>
  <w:style w:type="character" w:styleId="FootnoteReference">
    <w:name w:val="footnote reference"/>
    <w:semiHidden/>
    <w:rPr>
      <w:vertAlign w:val="superscript"/>
    </w:rPr>
  </w:style>
  <w:style w:type="paragraph" w:styleId="Revision">
    <w:name w:val="Revision"/>
    <w:hidden/>
    <w:uiPriority w:val="99"/>
    <w:semiHidden/>
    <w:pPr>
      <w:spacing w:after="0" w:line="240" w:lineRule="auto"/>
    </w:pPr>
    <w:rPr>
      <w:rFonts w:ascii="Tahoma" w:eastAsia="Times New Roman" w:hAnsi="Tahoma" w:cs="Times New Roman"/>
      <w:sz w:val="16"/>
      <w:szCs w:val="24"/>
    </w:rPr>
  </w:style>
  <w:style w:type="paragraph" w:styleId="Header">
    <w:name w:val="header"/>
    <w:basedOn w:val="Normal"/>
    <w:link w:val="HeaderChar"/>
    <w:uiPriority w:val="99"/>
    <w:unhideWhenUsed/>
    <w:rsid w:val="00D476AB"/>
    <w:pPr>
      <w:tabs>
        <w:tab w:val="center" w:pos="4680"/>
        <w:tab w:val="right" w:pos="9360"/>
      </w:tabs>
    </w:pPr>
  </w:style>
  <w:style w:type="character" w:customStyle="1" w:styleId="HeaderChar">
    <w:name w:val="Header Char"/>
    <w:basedOn w:val="DefaultParagraphFont"/>
    <w:link w:val="Header"/>
    <w:uiPriority w:val="99"/>
    <w:rsid w:val="00D476AB"/>
    <w:rPr>
      <w:rFonts w:ascii="Tahoma" w:eastAsia="Times New Roman" w:hAnsi="Tahoma" w:cs="Times New Roman"/>
      <w:sz w:val="16"/>
      <w:szCs w:val="24"/>
    </w:rPr>
  </w:style>
  <w:style w:type="paragraph" w:styleId="Footer">
    <w:name w:val="footer"/>
    <w:basedOn w:val="Normal"/>
    <w:link w:val="FooterChar"/>
    <w:uiPriority w:val="99"/>
    <w:unhideWhenUsed/>
    <w:rsid w:val="00D476AB"/>
    <w:pPr>
      <w:tabs>
        <w:tab w:val="center" w:pos="4680"/>
        <w:tab w:val="right" w:pos="9360"/>
      </w:tabs>
    </w:pPr>
  </w:style>
  <w:style w:type="character" w:customStyle="1" w:styleId="FooterChar">
    <w:name w:val="Footer Char"/>
    <w:basedOn w:val="DefaultParagraphFont"/>
    <w:link w:val="Footer"/>
    <w:uiPriority w:val="99"/>
    <w:rsid w:val="00D476AB"/>
    <w:rPr>
      <w:rFonts w:ascii="Tahoma" w:eastAsia="Times New Roman" w:hAnsi="Tahoma" w:cs="Times New Roman"/>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Tahoma" w:eastAsia="Times New Roman" w:hAnsi="Tahoma" w:cs="Times New Roman"/>
      <w:sz w:val="1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ahoma" w:eastAsia="Times New Roman" w:hAnsi="Tahoma"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ahoma" w:eastAsia="Times New Roman" w:hAnsi="Tahoma" w:cs="Times New Roman"/>
      <w:b/>
      <w:bCs/>
      <w:sz w:val="20"/>
      <w:szCs w:val="20"/>
    </w:rPr>
  </w:style>
  <w:style w:type="paragraph" w:styleId="FootnoteText">
    <w:name w:val="footnote text"/>
    <w:basedOn w:val="Normal"/>
    <w:link w:val="FootnoteTextChar"/>
    <w:semiHidden/>
    <w:rPr>
      <w:rFonts w:ascii="Times New Roman" w:hAnsi="Times New Roman"/>
      <w:sz w:val="20"/>
      <w:szCs w:val="20"/>
    </w:rPr>
  </w:style>
  <w:style w:type="character" w:customStyle="1" w:styleId="FootnoteTextChar">
    <w:name w:val="Footnote Text Char"/>
    <w:basedOn w:val="DefaultParagraphFont"/>
    <w:link w:val="FootnoteText"/>
    <w:semiHidden/>
    <w:rPr>
      <w:rFonts w:eastAsia="Times New Roman" w:cs="Times New Roman"/>
      <w:sz w:val="20"/>
      <w:szCs w:val="20"/>
    </w:rPr>
  </w:style>
  <w:style w:type="character" w:styleId="FootnoteReference">
    <w:name w:val="footnote reference"/>
    <w:semiHidden/>
    <w:rPr>
      <w:vertAlign w:val="superscript"/>
    </w:rPr>
  </w:style>
  <w:style w:type="paragraph" w:styleId="Revision">
    <w:name w:val="Revision"/>
    <w:hidden/>
    <w:uiPriority w:val="99"/>
    <w:semiHidden/>
    <w:pPr>
      <w:spacing w:after="0" w:line="240" w:lineRule="auto"/>
    </w:pPr>
    <w:rPr>
      <w:rFonts w:ascii="Tahoma" w:eastAsia="Times New Roman" w:hAnsi="Tahoma" w:cs="Times New Roman"/>
      <w:sz w:val="16"/>
      <w:szCs w:val="24"/>
    </w:rPr>
  </w:style>
  <w:style w:type="paragraph" w:styleId="Header">
    <w:name w:val="header"/>
    <w:basedOn w:val="Normal"/>
    <w:link w:val="HeaderChar"/>
    <w:uiPriority w:val="99"/>
    <w:unhideWhenUsed/>
    <w:rsid w:val="00D476AB"/>
    <w:pPr>
      <w:tabs>
        <w:tab w:val="center" w:pos="4680"/>
        <w:tab w:val="right" w:pos="9360"/>
      </w:tabs>
    </w:pPr>
  </w:style>
  <w:style w:type="character" w:customStyle="1" w:styleId="HeaderChar">
    <w:name w:val="Header Char"/>
    <w:basedOn w:val="DefaultParagraphFont"/>
    <w:link w:val="Header"/>
    <w:uiPriority w:val="99"/>
    <w:rsid w:val="00D476AB"/>
    <w:rPr>
      <w:rFonts w:ascii="Tahoma" w:eastAsia="Times New Roman" w:hAnsi="Tahoma" w:cs="Times New Roman"/>
      <w:sz w:val="16"/>
      <w:szCs w:val="24"/>
    </w:rPr>
  </w:style>
  <w:style w:type="paragraph" w:styleId="Footer">
    <w:name w:val="footer"/>
    <w:basedOn w:val="Normal"/>
    <w:link w:val="FooterChar"/>
    <w:uiPriority w:val="99"/>
    <w:unhideWhenUsed/>
    <w:rsid w:val="00D476AB"/>
    <w:pPr>
      <w:tabs>
        <w:tab w:val="center" w:pos="4680"/>
        <w:tab w:val="right" w:pos="9360"/>
      </w:tabs>
    </w:pPr>
  </w:style>
  <w:style w:type="character" w:customStyle="1" w:styleId="FooterChar">
    <w:name w:val="Footer Char"/>
    <w:basedOn w:val="DefaultParagraphFont"/>
    <w:link w:val="Footer"/>
    <w:uiPriority w:val="99"/>
    <w:rsid w:val="00D476AB"/>
    <w:rPr>
      <w:rFonts w:ascii="Tahoma" w:eastAsia="Times New Roman" w:hAnsi="Tahoma" w:cs="Times New Roman"/>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370F8-3E27-43BC-8E0F-F4A936EFA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2913</Words>
  <Characters>16609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Lisa Griggs</cp:lastModifiedBy>
  <cp:revision>2</cp:revision>
  <cp:lastPrinted>2016-04-15T21:58:00Z</cp:lastPrinted>
  <dcterms:created xsi:type="dcterms:W3CDTF">2016-04-15T21:23:00Z</dcterms:created>
  <dcterms:modified xsi:type="dcterms:W3CDTF">2016-04-15T21:58:00Z</dcterms:modified>
</cp:coreProperties>
</file>