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28B" w:rsidRPr="000E128B" w:rsidRDefault="00DC05D6" w:rsidP="000E12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IHS </w:t>
      </w:r>
      <w:r w:rsidR="000E128B" w:rsidRPr="000E128B">
        <w:rPr>
          <w:rFonts w:ascii="Times New Roman" w:hAnsi="Times New Roman" w:cs="Times New Roman"/>
          <w:b/>
          <w:sz w:val="24"/>
          <w:szCs w:val="24"/>
        </w:rPr>
        <w:t>Special Diabetes Program for Indians</w:t>
      </w:r>
    </w:p>
    <w:p w:rsidR="000E128B" w:rsidRDefault="00DC05D6" w:rsidP="000E12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Current </w:t>
      </w:r>
      <w:r w:rsidR="000E128B" w:rsidRPr="000E128B">
        <w:rPr>
          <w:rFonts w:ascii="Times New Roman" w:hAnsi="Times New Roman" w:cs="Times New Roman"/>
          <w:b/>
          <w:sz w:val="24"/>
          <w:szCs w:val="24"/>
        </w:rPr>
        <w:t xml:space="preserve">Distribution of Funds </w:t>
      </w:r>
      <w:r w:rsidR="000E128B">
        <w:rPr>
          <w:rFonts w:ascii="Times New Roman" w:hAnsi="Times New Roman" w:cs="Times New Roman"/>
          <w:b/>
          <w:sz w:val="24"/>
          <w:szCs w:val="24"/>
        </w:rPr>
        <w:t>–</w:t>
      </w:r>
      <w:r w:rsidR="000E128B" w:rsidRPr="000E12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FY </w:t>
      </w:r>
      <w:r w:rsidR="000E128B" w:rsidRPr="000E128B">
        <w:rPr>
          <w:rFonts w:ascii="Times New Roman" w:hAnsi="Times New Roman" w:cs="Times New Roman"/>
          <w:b/>
          <w:sz w:val="24"/>
          <w:szCs w:val="24"/>
        </w:rPr>
        <w:t>2011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8"/>
        <w:gridCol w:w="1800"/>
        <w:gridCol w:w="1638"/>
      </w:tblGrid>
      <w:tr w:rsidR="000E128B" w:rsidRPr="00A66DF6" w:rsidTr="00946957">
        <w:tc>
          <w:tcPr>
            <w:tcW w:w="6138" w:type="dxa"/>
          </w:tcPr>
          <w:p w:rsidR="000E128B" w:rsidRPr="00DC05D6" w:rsidRDefault="000E128B" w:rsidP="000E1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D6">
              <w:rPr>
                <w:rFonts w:ascii="Times New Roman" w:hAnsi="Times New Roman" w:cs="Times New Roman"/>
                <w:b/>
                <w:sz w:val="24"/>
                <w:szCs w:val="24"/>
              </w:rPr>
              <w:t>Category</w:t>
            </w:r>
          </w:p>
        </w:tc>
        <w:tc>
          <w:tcPr>
            <w:tcW w:w="1800" w:type="dxa"/>
          </w:tcPr>
          <w:p w:rsidR="000E128B" w:rsidRPr="00DC05D6" w:rsidRDefault="000E128B" w:rsidP="000E1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D6">
              <w:rPr>
                <w:rFonts w:ascii="Times New Roman" w:hAnsi="Times New Roman" w:cs="Times New Roman"/>
                <w:b/>
                <w:sz w:val="24"/>
                <w:szCs w:val="24"/>
              </w:rPr>
              <w:t>Percentage of the total</w:t>
            </w:r>
          </w:p>
        </w:tc>
        <w:tc>
          <w:tcPr>
            <w:tcW w:w="1638" w:type="dxa"/>
          </w:tcPr>
          <w:p w:rsidR="000E128B" w:rsidRPr="00DC05D6" w:rsidRDefault="000E128B" w:rsidP="000E1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D6">
              <w:rPr>
                <w:rFonts w:ascii="Times New Roman" w:hAnsi="Times New Roman" w:cs="Times New Roman"/>
                <w:b/>
                <w:sz w:val="24"/>
                <w:szCs w:val="24"/>
              </w:rPr>
              <w:t>Dollars in Millions</w:t>
            </w:r>
          </w:p>
        </w:tc>
      </w:tr>
      <w:tr w:rsidR="000E128B" w:rsidRPr="00A66DF6" w:rsidTr="00946957">
        <w:tc>
          <w:tcPr>
            <w:tcW w:w="6138" w:type="dxa"/>
          </w:tcPr>
          <w:p w:rsidR="000E128B" w:rsidRPr="00A66DF6" w:rsidRDefault="000E128B" w:rsidP="000E128B">
            <w:pPr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  <w:b/>
              </w:rPr>
              <w:t>Original Diabetes Grants – now called Community-Directed Diabetes Programs.</w:t>
            </w:r>
            <w:r w:rsidRPr="00A66DF6">
              <w:rPr>
                <w:rFonts w:ascii="Times New Roman" w:hAnsi="Times New Roman" w:cs="Times New Roman"/>
              </w:rPr>
              <w:t xml:space="preserve"> These grants have designed and carried out diabetes prevention and treatment interventions tailored to the unique problems and challenges of diabetes in individual American Indian and Alaska Native</w:t>
            </w:r>
            <w:r w:rsidR="007B6F74" w:rsidRPr="00A66DF6">
              <w:rPr>
                <w:rFonts w:ascii="Times New Roman" w:hAnsi="Times New Roman" w:cs="Times New Roman"/>
              </w:rPr>
              <w:t xml:space="preserve"> (AI/AN)</w:t>
            </w:r>
            <w:r w:rsidRPr="00A66DF6">
              <w:rPr>
                <w:rFonts w:ascii="Times New Roman" w:hAnsi="Times New Roman" w:cs="Times New Roman"/>
              </w:rPr>
              <w:t xml:space="preserve"> communities.</w:t>
            </w:r>
          </w:p>
          <w:p w:rsidR="005E28E0" w:rsidRPr="00A66DF6" w:rsidRDefault="005E28E0" w:rsidP="000E128B">
            <w:pPr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(302 Tribal and IHS grants and sub-grants in FY 2010)</w:t>
            </w:r>
          </w:p>
          <w:p w:rsidR="000E128B" w:rsidRPr="00A66DF6" w:rsidRDefault="000E128B" w:rsidP="000E1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0E128B" w:rsidRPr="00A66DF6" w:rsidRDefault="0071774B" w:rsidP="000E1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69.6</w:t>
            </w:r>
            <w:r w:rsidR="000E128B" w:rsidRPr="00A66D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38" w:type="dxa"/>
            <w:vAlign w:val="bottom"/>
          </w:tcPr>
          <w:p w:rsidR="000E128B" w:rsidRPr="00A66DF6" w:rsidRDefault="000E128B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$104.4</w:t>
            </w:r>
          </w:p>
        </w:tc>
      </w:tr>
      <w:tr w:rsidR="000E128B" w:rsidRPr="00A66DF6" w:rsidTr="00946957">
        <w:tc>
          <w:tcPr>
            <w:tcW w:w="6138" w:type="dxa"/>
          </w:tcPr>
          <w:p w:rsidR="000E128B" w:rsidRDefault="000E128B" w:rsidP="005E28E0">
            <w:pPr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  <w:b/>
              </w:rPr>
              <w:t>Administration o</w:t>
            </w:r>
            <w:r w:rsidR="005E28E0" w:rsidRPr="00A66DF6">
              <w:rPr>
                <w:rFonts w:ascii="Times New Roman" w:hAnsi="Times New Roman" w:cs="Times New Roman"/>
                <w:b/>
              </w:rPr>
              <w:t>f Community-Directed Grants.</w:t>
            </w:r>
            <w:r w:rsidR="005E28E0" w:rsidRPr="00A66DF6">
              <w:rPr>
                <w:rFonts w:ascii="Times New Roman" w:hAnsi="Times New Roman" w:cs="Times New Roman"/>
              </w:rPr>
              <w:t xml:space="preserve"> These</w:t>
            </w:r>
            <w:r w:rsidRPr="00A66DF6">
              <w:rPr>
                <w:rFonts w:ascii="Times New Roman" w:hAnsi="Times New Roman" w:cs="Times New Roman"/>
              </w:rPr>
              <w:t xml:space="preserve"> </w:t>
            </w:r>
            <w:r w:rsidR="005E28E0" w:rsidRPr="00A66DF6">
              <w:rPr>
                <w:rFonts w:ascii="Times New Roman" w:hAnsi="Times New Roman" w:cs="Times New Roman"/>
              </w:rPr>
              <w:t>funds were used to support 1) administrative activities within the Division of Diabetes Treatment and Prevention</w:t>
            </w:r>
            <w:r w:rsidR="007B6F74" w:rsidRPr="00A66DF6">
              <w:rPr>
                <w:rFonts w:ascii="Times New Roman" w:hAnsi="Times New Roman" w:cs="Times New Roman"/>
              </w:rPr>
              <w:t xml:space="preserve"> (DDTP)</w:t>
            </w:r>
            <w:r w:rsidR="005E28E0" w:rsidRPr="00A66DF6">
              <w:rPr>
                <w:rFonts w:ascii="Times New Roman" w:hAnsi="Times New Roman" w:cs="Times New Roman"/>
              </w:rPr>
              <w:t>, Division of Grants Management</w:t>
            </w:r>
            <w:r w:rsidR="007B6F74" w:rsidRPr="00A66DF6">
              <w:rPr>
                <w:rFonts w:ascii="Times New Roman" w:hAnsi="Times New Roman" w:cs="Times New Roman"/>
              </w:rPr>
              <w:t xml:space="preserve"> (DGM)</w:t>
            </w:r>
            <w:r w:rsidR="005E28E0" w:rsidRPr="00A66DF6">
              <w:rPr>
                <w:rFonts w:ascii="Times New Roman" w:hAnsi="Times New Roman" w:cs="Times New Roman"/>
              </w:rPr>
              <w:t xml:space="preserve"> and the </w:t>
            </w:r>
            <w:r w:rsidRPr="00A66DF6">
              <w:rPr>
                <w:rFonts w:ascii="Times New Roman" w:hAnsi="Times New Roman" w:cs="Times New Roman"/>
              </w:rPr>
              <w:t xml:space="preserve">IHS Areas, </w:t>
            </w:r>
            <w:r w:rsidR="005E28E0" w:rsidRPr="00A66DF6">
              <w:rPr>
                <w:rFonts w:ascii="Times New Roman" w:hAnsi="Times New Roman" w:cs="Times New Roman"/>
              </w:rPr>
              <w:t xml:space="preserve">2) the </w:t>
            </w:r>
            <w:r w:rsidRPr="00A66DF6">
              <w:rPr>
                <w:rFonts w:ascii="Times New Roman" w:hAnsi="Times New Roman" w:cs="Times New Roman"/>
              </w:rPr>
              <w:t>Tribal Leaders Diabetes Committee</w:t>
            </w:r>
            <w:r w:rsidR="007B6F74" w:rsidRPr="00A66DF6">
              <w:rPr>
                <w:rFonts w:ascii="Times New Roman" w:hAnsi="Times New Roman" w:cs="Times New Roman"/>
              </w:rPr>
              <w:t xml:space="preserve"> (TLDC)</w:t>
            </w:r>
            <w:r w:rsidRPr="00A66DF6">
              <w:rPr>
                <w:rFonts w:ascii="Times New Roman" w:hAnsi="Times New Roman" w:cs="Times New Roman"/>
              </w:rPr>
              <w:t xml:space="preserve">, </w:t>
            </w:r>
            <w:r w:rsidR="005E28E0" w:rsidRPr="00A66DF6">
              <w:rPr>
                <w:rFonts w:ascii="Times New Roman" w:hAnsi="Times New Roman" w:cs="Times New Roman"/>
              </w:rPr>
              <w:t xml:space="preserve">and 3) grant evaluation contracts. </w:t>
            </w:r>
          </w:p>
          <w:p w:rsidR="00A66DF6" w:rsidRPr="00A66DF6" w:rsidRDefault="00A66DF6" w:rsidP="005E28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0E128B" w:rsidRPr="00A66DF6" w:rsidRDefault="005E28E0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2.7%</w:t>
            </w:r>
          </w:p>
        </w:tc>
        <w:tc>
          <w:tcPr>
            <w:tcW w:w="1638" w:type="dxa"/>
            <w:vAlign w:val="bottom"/>
          </w:tcPr>
          <w:p w:rsidR="000E128B" w:rsidRPr="00A66DF6" w:rsidRDefault="000E128B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4.1</w:t>
            </w:r>
          </w:p>
        </w:tc>
      </w:tr>
      <w:tr w:rsidR="000E128B" w:rsidRPr="00A66DF6" w:rsidTr="00946957">
        <w:tc>
          <w:tcPr>
            <w:tcW w:w="6138" w:type="dxa"/>
          </w:tcPr>
          <w:p w:rsidR="005E28E0" w:rsidRPr="00A66DF6" w:rsidRDefault="005E28E0" w:rsidP="000E128B">
            <w:pPr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  <w:b/>
              </w:rPr>
              <w:t>Urban Indian Health Program Community-Directed Diabetes Programs.</w:t>
            </w:r>
            <w:r w:rsidRPr="00A66DF6">
              <w:rPr>
                <w:rFonts w:ascii="Times New Roman" w:hAnsi="Times New Roman" w:cs="Times New Roman"/>
              </w:rPr>
              <w:t xml:space="preserve"> These funds are set-aside for use by the Urban Indian Programs. </w:t>
            </w:r>
          </w:p>
          <w:p w:rsidR="000E128B" w:rsidRDefault="005E28E0" w:rsidP="000E128B">
            <w:pPr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(34 Grants)</w:t>
            </w:r>
          </w:p>
          <w:p w:rsidR="00A66DF6" w:rsidRPr="00A66DF6" w:rsidRDefault="00A66DF6" w:rsidP="000E1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0E128B" w:rsidRPr="00A66DF6" w:rsidRDefault="005E28E0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5</w:t>
            </w:r>
            <w:r w:rsidR="00946957">
              <w:rPr>
                <w:rFonts w:ascii="Times New Roman" w:hAnsi="Times New Roman" w:cs="Times New Roman"/>
              </w:rPr>
              <w:t>.0</w:t>
            </w:r>
            <w:r w:rsidRPr="00A66D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38" w:type="dxa"/>
            <w:vAlign w:val="bottom"/>
          </w:tcPr>
          <w:p w:rsidR="000E128B" w:rsidRPr="00A66DF6" w:rsidRDefault="000E128B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7.5</w:t>
            </w:r>
          </w:p>
        </w:tc>
      </w:tr>
      <w:tr w:rsidR="000E128B" w:rsidRPr="00A66DF6" w:rsidTr="00946957">
        <w:tc>
          <w:tcPr>
            <w:tcW w:w="6138" w:type="dxa"/>
          </w:tcPr>
          <w:p w:rsidR="000E128B" w:rsidRDefault="005E28E0" w:rsidP="000E128B">
            <w:pPr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  <w:b/>
              </w:rPr>
              <w:t xml:space="preserve">Diabetes Prevention and Healthy Heart </w:t>
            </w:r>
            <w:r w:rsidR="00EC318C">
              <w:rPr>
                <w:rFonts w:ascii="Times New Roman" w:hAnsi="Times New Roman" w:cs="Times New Roman"/>
                <w:b/>
              </w:rPr>
              <w:t>Initiatives</w:t>
            </w:r>
            <w:r w:rsidRPr="00A66DF6">
              <w:rPr>
                <w:rFonts w:ascii="Times New Roman" w:hAnsi="Times New Roman" w:cs="Times New Roman"/>
                <w:b/>
              </w:rPr>
              <w:t>.</w:t>
            </w:r>
            <w:r w:rsidRPr="00A66DF6">
              <w:rPr>
                <w:rFonts w:ascii="Times New Roman" w:hAnsi="Times New Roman" w:cs="Times New Roman"/>
              </w:rPr>
              <w:t xml:space="preserve"> 66 grants were awarded to IHS, Tribes, and Urban Indian Health Programs for 6 years to translate findings from scientific studies on diabetes and cardiovascular disease prevention into the “real world settings” of AI/</w:t>
            </w:r>
            <w:proofErr w:type="gramStart"/>
            <w:r w:rsidRPr="00A66DF6">
              <w:rPr>
                <w:rFonts w:ascii="Times New Roman" w:hAnsi="Times New Roman" w:cs="Times New Roman"/>
              </w:rPr>
              <w:t>AN</w:t>
            </w:r>
            <w:proofErr w:type="gramEnd"/>
            <w:r w:rsidRPr="00A66DF6">
              <w:rPr>
                <w:rFonts w:ascii="Times New Roman" w:hAnsi="Times New Roman" w:cs="Times New Roman"/>
              </w:rPr>
              <w:t xml:space="preserve"> communities and their health care systems.</w:t>
            </w:r>
            <w:r w:rsidR="00EC318C">
              <w:rPr>
                <w:rFonts w:ascii="Times New Roman" w:hAnsi="Times New Roman" w:cs="Times New Roman"/>
              </w:rPr>
              <w:t xml:space="preserve"> In FY2010, 68 grants were awarded to continue these activities and help disseminate lessons learned to other programs.  </w:t>
            </w:r>
          </w:p>
          <w:p w:rsidR="00A66DF6" w:rsidRPr="00A66DF6" w:rsidRDefault="00A66DF6" w:rsidP="000E1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0E128B" w:rsidRPr="00A66DF6" w:rsidRDefault="007B6F74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15.5%</w:t>
            </w:r>
          </w:p>
        </w:tc>
        <w:tc>
          <w:tcPr>
            <w:tcW w:w="1638" w:type="dxa"/>
            <w:vAlign w:val="bottom"/>
          </w:tcPr>
          <w:p w:rsidR="000E128B" w:rsidRPr="00A66DF6" w:rsidRDefault="000E128B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23.2</w:t>
            </w:r>
          </w:p>
        </w:tc>
      </w:tr>
      <w:tr w:rsidR="000E128B" w:rsidRPr="00A66DF6" w:rsidTr="00946957">
        <w:tc>
          <w:tcPr>
            <w:tcW w:w="6138" w:type="dxa"/>
          </w:tcPr>
          <w:p w:rsidR="000E128B" w:rsidRDefault="007B6F74" w:rsidP="000E128B">
            <w:pPr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  <w:b/>
              </w:rPr>
              <w:t>Administration of Demonstration Project Diabetes Grants.</w:t>
            </w:r>
            <w:r w:rsidRPr="00A66DF6">
              <w:rPr>
                <w:rFonts w:ascii="Times New Roman" w:hAnsi="Times New Roman" w:cs="Times New Roman"/>
              </w:rPr>
              <w:t xml:space="preserve"> These funds were used to support 1) the coordinating center</w:t>
            </w:r>
            <w:r w:rsidR="00EC318C">
              <w:rPr>
                <w:rFonts w:ascii="Times New Roman" w:hAnsi="Times New Roman" w:cs="Times New Roman"/>
              </w:rPr>
              <w:t xml:space="preserve"> for the DP and HH initiatives</w:t>
            </w:r>
            <w:r w:rsidRPr="00A66DF6">
              <w:rPr>
                <w:rFonts w:ascii="Times New Roman" w:hAnsi="Times New Roman" w:cs="Times New Roman"/>
              </w:rPr>
              <w:t>, 2) limited dissemination activities, 3) administrative activities within the DDTP and DGM, and 4) related contracts.</w:t>
            </w:r>
          </w:p>
          <w:p w:rsidR="00A66DF6" w:rsidRPr="00A66DF6" w:rsidRDefault="00A66DF6" w:rsidP="000E1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0E128B" w:rsidRPr="00A66DF6" w:rsidRDefault="00A66DF6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3.1%</w:t>
            </w:r>
          </w:p>
        </w:tc>
        <w:tc>
          <w:tcPr>
            <w:tcW w:w="1638" w:type="dxa"/>
            <w:vAlign w:val="bottom"/>
          </w:tcPr>
          <w:p w:rsidR="000E128B" w:rsidRPr="00A66DF6" w:rsidRDefault="00A66DF6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4.6</w:t>
            </w:r>
          </w:p>
        </w:tc>
      </w:tr>
      <w:tr w:rsidR="000E128B" w:rsidRPr="00A66DF6" w:rsidTr="00946957">
        <w:tc>
          <w:tcPr>
            <w:tcW w:w="6138" w:type="dxa"/>
          </w:tcPr>
          <w:p w:rsidR="000E128B" w:rsidRDefault="007B6F74" w:rsidP="000E128B">
            <w:pPr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  <w:b/>
              </w:rPr>
              <w:t>Funds to Strengthen the Data Infrastructure of IHS.</w:t>
            </w:r>
            <w:r w:rsidRPr="00A66DF6">
              <w:rPr>
                <w:rFonts w:ascii="Times New Roman" w:hAnsi="Times New Roman" w:cs="Times New Roman"/>
              </w:rPr>
              <w:t xml:space="preserve">  These funds were used to support national and IHS Area data infrastructure improvement activities per recommendation of the TLDC and direction of the IHS Director.</w:t>
            </w:r>
          </w:p>
          <w:p w:rsidR="00A66DF6" w:rsidRPr="00A66DF6" w:rsidRDefault="00A66DF6" w:rsidP="000E1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0E128B" w:rsidRPr="00A66DF6" w:rsidRDefault="00946957" w:rsidP="000E1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  <w:r w:rsidR="00A66DF6" w:rsidRPr="00A66DF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638" w:type="dxa"/>
            <w:vAlign w:val="bottom"/>
          </w:tcPr>
          <w:p w:rsidR="000E128B" w:rsidRPr="00A66DF6" w:rsidRDefault="007B6F74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5.2</w:t>
            </w:r>
          </w:p>
        </w:tc>
      </w:tr>
      <w:tr w:rsidR="007B6F74" w:rsidRPr="00A66DF6" w:rsidTr="00946957">
        <w:tc>
          <w:tcPr>
            <w:tcW w:w="6138" w:type="dxa"/>
          </w:tcPr>
          <w:p w:rsidR="007B6F74" w:rsidRPr="00A66DF6" w:rsidRDefault="007B6F74" w:rsidP="000E128B">
            <w:pPr>
              <w:rPr>
                <w:rFonts w:ascii="Times New Roman" w:hAnsi="Times New Roman" w:cs="Times New Roman"/>
                <w:b/>
              </w:rPr>
            </w:pPr>
            <w:r w:rsidRPr="00A66DF6">
              <w:rPr>
                <w:rFonts w:ascii="Times New Roman" w:hAnsi="Times New Roman" w:cs="Times New Roman"/>
                <w:b/>
              </w:rPr>
              <w:t>Native Diabetes Wellness Center (CDC)</w:t>
            </w:r>
          </w:p>
          <w:p w:rsidR="00A66DF6" w:rsidRPr="00A66DF6" w:rsidRDefault="00A66DF6" w:rsidP="000E12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bottom"/>
          </w:tcPr>
          <w:p w:rsidR="007B6F74" w:rsidRPr="00A66DF6" w:rsidRDefault="007B6F74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0.6%</w:t>
            </w:r>
          </w:p>
        </w:tc>
        <w:tc>
          <w:tcPr>
            <w:tcW w:w="1638" w:type="dxa"/>
            <w:vAlign w:val="bottom"/>
          </w:tcPr>
          <w:p w:rsidR="007B6F74" w:rsidRPr="00A66DF6" w:rsidRDefault="007B6F74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1.0</w:t>
            </w:r>
          </w:p>
        </w:tc>
      </w:tr>
      <w:tr w:rsidR="000E128B" w:rsidRPr="00A66DF6" w:rsidTr="00946957">
        <w:tc>
          <w:tcPr>
            <w:tcW w:w="6138" w:type="dxa"/>
            <w:vAlign w:val="bottom"/>
          </w:tcPr>
          <w:p w:rsidR="00946957" w:rsidRDefault="00946957" w:rsidP="00A66DF6">
            <w:pPr>
              <w:jc w:val="right"/>
              <w:rPr>
                <w:rFonts w:ascii="Times New Roman" w:hAnsi="Times New Roman" w:cs="Times New Roman"/>
              </w:rPr>
            </w:pPr>
          </w:p>
          <w:p w:rsidR="000E128B" w:rsidRPr="00DC05D6" w:rsidRDefault="00A66DF6" w:rsidP="00A66DF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C05D6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800" w:type="dxa"/>
            <w:vAlign w:val="bottom"/>
          </w:tcPr>
          <w:p w:rsidR="000E128B" w:rsidRPr="00A66DF6" w:rsidRDefault="00A66DF6" w:rsidP="000E1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638" w:type="dxa"/>
            <w:vAlign w:val="bottom"/>
          </w:tcPr>
          <w:p w:rsidR="000E128B" w:rsidRPr="00A66DF6" w:rsidRDefault="000E128B" w:rsidP="000E128B">
            <w:pPr>
              <w:jc w:val="right"/>
              <w:rPr>
                <w:rFonts w:ascii="Times New Roman" w:hAnsi="Times New Roman" w:cs="Times New Roman"/>
              </w:rPr>
            </w:pPr>
            <w:r w:rsidRPr="00A66DF6">
              <w:rPr>
                <w:rFonts w:ascii="Times New Roman" w:hAnsi="Times New Roman" w:cs="Times New Roman"/>
              </w:rPr>
              <w:t>$150.0</w:t>
            </w:r>
          </w:p>
        </w:tc>
      </w:tr>
    </w:tbl>
    <w:p w:rsidR="000E128B" w:rsidRPr="000E128B" w:rsidRDefault="000E128B" w:rsidP="00EC318C">
      <w:pPr>
        <w:rPr>
          <w:rFonts w:ascii="Times New Roman" w:hAnsi="Times New Roman" w:cs="Times New Roman"/>
          <w:b/>
          <w:sz w:val="24"/>
          <w:szCs w:val="24"/>
        </w:rPr>
      </w:pPr>
    </w:p>
    <w:sectPr w:rsidR="000E128B" w:rsidRPr="000E128B" w:rsidSect="008E3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28B"/>
    <w:rsid w:val="00080B57"/>
    <w:rsid w:val="000E128B"/>
    <w:rsid w:val="00380745"/>
    <w:rsid w:val="00391C19"/>
    <w:rsid w:val="00392069"/>
    <w:rsid w:val="005300B1"/>
    <w:rsid w:val="00550F22"/>
    <w:rsid w:val="005E28E0"/>
    <w:rsid w:val="00694166"/>
    <w:rsid w:val="006A23EF"/>
    <w:rsid w:val="0071774B"/>
    <w:rsid w:val="007B6F74"/>
    <w:rsid w:val="00882531"/>
    <w:rsid w:val="008E372B"/>
    <w:rsid w:val="00946957"/>
    <w:rsid w:val="00A36B73"/>
    <w:rsid w:val="00A66DF6"/>
    <w:rsid w:val="00C03CC6"/>
    <w:rsid w:val="00C771BA"/>
    <w:rsid w:val="00DB3B25"/>
    <w:rsid w:val="00DC05D6"/>
    <w:rsid w:val="00EC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IHS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slv</dc:creator>
  <cp:lastModifiedBy>Jim Roberts</cp:lastModifiedBy>
  <cp:revision>2</cp:revision>
  <cp:lastPrinted>2011-01-20T23:32:00Z</cp:lastPrinted>
  <dcterms:created xsi:type="dcterms:W3CDTF">2013-04-17T21:08:00Z</dcterms:created>
  <dcterms:modified xsi:type="dcterms:W3CDTF">2013-04-17T21:08:00Z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-411655813</vt:i4>
  </property>
  <property fmtid="{D5CDD505-2E9C-101B-9397-08002B2CF9AE}" pid="3" name="_NewReviewCycle">
    <vt:lpwstr/>
  </property>
  <property fmtid="{D5CDD505-2E9C-101B-9397-08002B2CF9AE}" pid="4" name="_EmailSubject">
    <vt:lpwstr>SDPI extension consultation - DRAFT letter</vt:lpwstr>
  </property>
  <property fmtid="{D5CDD505-2E9C-101B-9397-08002B2CF9AE}" pid="5" name="_AuthorEmail">
    <vt:lpwstr>Kelly.Acton@ihs.gov</vt:lpwstr>
  </property>
  <property fmtid="{D5CDD505-2E9C-101B-9397-08002B2CF9AE}" pid="6" name="_AuthorEmailDisplayName">
    <vt:lpwstr>Acton, Kelly J. (IHS/HQ)</vt:lpwstr>
  </property>
  <property fmtid="{D5CDD505-2E9C-101B-9397-08002B2CF9AE}" pid="7" name="_ReviewingToolsShownOnce">
    <vt:lpwstr/>
  </property>
</Properties>
</file>