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48" w:rsidRPr="00FE6F63" w:rsidRDefault="0035511E" w:rsidP="001A5748">
      <w:pPr>
        <w:jc w:val="center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 xml:space="preserve">    </w:t>
      </w:r>
      <w:r w:rsidR="001A5748" w:rsidRPr="00FE6F63">
        <w:rPr>
          <w:rFonts w:ascii="Calibri" w:hAnsi="Calibri"/>
          <w:b/>
          <w:sz w:val="22"/>
        </w:rPr>
        <w:t>Resolution No.:________</w:t>
      </w:r>
    </w:p>
    <w:p w:rsidR="00D47430" w:rsidRDefault="00D47430" w:rsidP="001A5748">
      <w:pPr>
        <w:jc w:val="center"/>
        <w:rPr>
          <w:rFonts w:ascii="Calibri" w:hAnsi="Calibri"/>
          <w:b/>
          <w:sz w:val="22"/>
        </w:rPr>
      </w:pPr>
    </w:p>
    <w:p w:rsidR="00E61D5F" w:rsidRDefault="001A5748" w:rsidP="00E61D5F">
      <w:pPr>
        <w:jc w:val="center"/>
        <w:rPr>
          <w:rFonts w:ascii="Calibri" w:hAnsi="Calibri"/>
          <w:b/>
          <w:sz w:val="22"/>
        </w:rPr>
      </w:pPr>
      <w:r w:rsidRPr="00FE6F63">
        <w:rPr>
          <w:rFonts w:ascii="Calibri" w:hAnsi="Calibri"/>
          <w:b/>
          <w:sz w:val="22"/>
        </w:rPr>
        <w:t>“</w:t>
      </w:r>
      <w:r w:rsidR="00935900">
        <w:rPr>
          <w:rFonts w:ascii="Calibri" w:hAnsi="Calibri"/>
          <w:b/>
          <w:sz w:val="22"/>
        </w:rPr>
        <w:t xml:space="preserve">Recommendation that </w:t>
      </w:r>
      <w:r w:rsidR="00D30A2F">
        <w:rPr>
          <w:rFonts w:ascii="Calibri" w:hAnsi="Calibri"/>
          <w:b/>
          <w:sz w:val="22"/>
        </w:rPr>
        <w:t xml:space="preserve">a Financial Conflict of Interest Policy be added to the Program Operations Manual and posted to the NPAIHB website, in order to comply with federal DHHS regulations impacting grantees and contractors.” </w:t>
      </w:r>
    </w:p>
    <w:p w:rsidR="001A5748" w:rsidRPr="00FE6F63" w:rsidRDefault="001A5748" w:rsidP="00D30A2F">
      <w:pPr>
        <w:rPr>
          <w:rFonts w:ascii="Calibri" w:hAnsi="Calibri"/>
          <w:b/>
          <w:sz w:val="22"/>
        </w:rPr>
      </w:pPr>
    </w:p>
    <w:p w:rsidR="001A5748" w:rsidRPr="00FE6F63" w:rsidRDefault="001A5748">
      <w:pPr>
        <w:rPr>
          <w:rFonts w:ascii="Calibri" w:hAnsi="Calibri"/>
          <w:b/>
          <w:sz w:val="22"/>
        </w:rPr>
      </w:pPr>
    </w:p>
    <w:p w:rsidR="00FE6F63" w:rsidRPr="00FE6F63" w:rsidRDefault="00FE6F63" w:rsidP="00FE6F63">
      <w:pPr>
        <w:rPr>
          <w:rFonts w:ascii="Calibri" w:hAnsi="Calibri"/>
          <w:sz w:val="22"/>
        </w:rPr>
      </w:pPr>
      <w:r w:rsidRPr="00FE6F63">
        <w:rPr>
          <w:rFonts w:ascii="Calibri" w:hAnsi="Calibri"/>
          <w:b/>
          <w:sz w:val="22"/>
        </w:rPr>
        <w:t>WHEREAS</w:t>
      </w:r>
      <w:r w:rsidRPr="00FE6F63">
        <w:rPr>
          <w:rFonts w:ascii="Calibri" w:hAnsi="Calibri"/>
          <w:sz w:val="22"/>
        </w:rPr>
        <w:t xml:space="preserve">, the Northwest Portland Area Indian Health Board (hereinafter “NPAIHB” or the “Board”) </w:t>
      </w:r>
      <w:r w:rsidR="00ED5469">
        <w:rPr>
          <w:rFonts w:ascii="Calibri" w:hAnsi="Calibri"/>
          <w:sz w:val="22"/>
        </w:rPr>
        <w:t xml:space="preserve">was established in 1972 to </w:t>
      </w:r>
      <w:r w:rsidRPr="00FE6F63">
        <w:rPr>
          <w:rFonts w:ascii="Calibri" w:hAnsi="Calibri"/>
          <w:sz w:val="22"/>
        </w:rPr>
        <w:t xml:space="preserve">assist Tribal governments to improve the health status and quality of life of </w:t>
      </w:r>
      <w:r>
        <w:rPr>
          <w:rFonts w:ascii="Calibri" w:hAnsi="Calibri"/>
          <w:sz w:val="22"/>
        </w:rPr>
        <w:t>Indian people</w:t>
      </w:r>
      <w:r w:rsidRPr="00FE6F63">
        <w:rPr>
          <w:rFonts w:ascii="Calibri" w:hAnsi="Calibri"/>
          <w:sz w:val="22"/>
        </w:rPr>
        <w:t xml:space="preserve">; and </w:t>
      </w:r>
    </w:p>
    <w:p w:rsidR="00FE6F63" w:rsidRPr="00FE6F63" w:rsidRDefault="00FE6F63" w:rsidP="00FE6F63">
      <w:pPr>
        <w:rPr>
          <w:rFonts w:ascii="Calibri" w:hAnsi="Calibri"/>
          <w:sz w:val="22"/>
        </w:rPr>
      </w:pPr>
    </w:p>
    <w:p w:rsidR="001A5748" w:rsidRPr="00FE6F63" w:rsidRDefault="00B10B0D">
      <w:pPr>
        <w:rPr>
          <w:rFonts w:ascii="Calibri" w:hAnsi="Calibri"/>
          <w:sz w:val="22"/>
        </w:rPr>
      </w:pPr>
      <w:r w:rsidRPr="00FE6F63">
        <w:rPr>
          <w:rFonts w:ascii="Calibri" w:hAnsi="Calibri"/>
          <w:b/>
          <w:sz w:val="22"/>
        </w:rPr>
        <w:t>WHEREAS</w:t>
      </w:r>
      <w:r w:rsidRPr="00FE6F63">
        <w:rPr>
          <w:rFonts w:ascii="Calibri" w:hAnsi="Calibri"/>
          <w:sz w:val="22"/>
        </w:rPr>
        <w:t xml:space="preserve">, the Northwest Portland Area Indian Health Board </w:t>
      </w:r>
      <w:r w:rsidR="00C77E6D" w:rsidRPr="00FE6F63">
        <w:rPr>
          <w:rFonts w:ascii="Calibri" w:hAnsi="Calibri"/>
          <w:sz w:val="22"/>
        </w:rPr>
        <w:t xml:space="preserve">is </w:t>
      </w:r>
      <w:r w:rsidR="0031132A" w:rsidRPr="00FE6F63">
        <w:rPr>
          <w:rFonts w:ascii="Calibri" w:hAnsi="Calibri"/>
          <w:sz w:val="22"/>
        </w:rPr>
        <w:t xml:space="preserve">a “tribal organization” </w:t>
      </w:r>
      <w:r w:rsidR="007E481F" w:rsidRPr="00FE6F63">
        <w:rPr>
          <w:rFonts w:ascii="Calibri" w:hAnsi="Calibri"/>
          <w:sz w:val="22"/>
        </w:rPr>
        <w:t xml:space="preserve">as defined by </w:t>
      </w:r>
      <w:r w:rsidR="0031132A" w:rsidRPr="00FE6F63">
        <w:rPr>
          <w:rFonts w:ascii="Calibri" w:hAnsi="Calibri"/>
          <w:sz w:val="22"/>
        </w:rPr>
        <w:t xml:space="preserve">the Indian Self-Determination and Education Assistance Act (P.L. 93-638 seq. et al) </w:t>
      </w:r>
      <w:r w:rsidR="00FE6F63">
        <w:rPr>
          <w:rFonts w:ascii="Calibri" w:hAnsi="Calibri"/>
          <w:sz w:val="22"/>
        </w:rPr>
        <w:t xml:space="preserve">that </w:t>
      </w:r>
      <w:r w:rsidRPr="00FE6F63">
        <w:rPr>
          <w:rFonts w:ascii="Calibri" w:hAnsi="Calibri"/>
          <w:sz w:val="22"/>
        </w:rPr>
        <w:t>represent</w:t>
      </w:r>
      <w:r w:rsidR="00982FF4" w:rsidRPr="00FE6F63">
        <w:rPr>
          <w:rFonts w:ascii="Calibri" w:hAnsi="Calibri"/>
          <w:sz w:val="22"/>
        </w:rPr>
        <w:t>s</w:t>
      </w:r>
      <w:r w:rsidRPr="00FE6F63">
        <w:rPr>
          <w:rFonts w:ascii="Calibri" w:hAnsi="Calibri"/>
          <w:sz w:val="22"/>
        </w:rPr>
        <w:t xml:space="preserve"> forty-three federally recognized </w:t>
      </w:r>
      <w:r w:rsidR="0031132A" w:rsidRPr="00FE6F63">
        <w:rPr>
          <w:rFonts w:ascii="Calibri" w:hAnsi="Calibri"/>
          <w:sz w:val="22"/>
        </w:rPr>
        <w:t>t</w:t>
      </w:r>
      <w:r w:rsidRPr="00FE6F63">
        <w:rPr>
          <w:rFonts w:ascii="Calibri" w:hAnsi="Calibri"/>
          <w:sz w:val="22"/>
        </w:rPr>
        <w:t xml:space="preserve">ribes in </w:t>
      </w:r>
      <w:r w:rsidR="0031132A" w:rsidRPr="00FE6F63">
        <w:rPr>
          <w:rFonts w:ascii="Calibri" w:hAnsi="Calibri"/>
          <w:sz w:val="22"/>
        </w:rPr>
        <w:t xml:space="preserve">the states of </w:t>
      </w:r>
      <w:r w:rsidRPr="00FE6F63">
        <w:rPr>
          <w:rFonts w:ascii="Calibri" w:hAnsi="Calibri"/>
          <w:sz w:val="22"/>
        </w:rPr>
        <w:t>Idaho, Oregon, and Washington</w:t>
      </w:r>
      <w:r w:rsidR="001A5748" w:rsidRPr="00FE6F63">
        <w:rPr>
          <w:rFonts w:ascii="Calibri" w:hAnsi="Calibri"/>
          <w:sz w:val="22"/>
        </w:rPr>
        <w:t>;</w:t>
      </w:r>
      <w:r w:rsidRPr="00FE6F63">
        <w:rPr>
          <w:rFonts w:ascii="Calibri" w:hAnsi="Calibri"/>
          <w:sz w:val="22"/>
        </w:rPr>
        <w:t xml:space="preserve"> and </w:t>
      </w:r>
    </w:p>
    <w:p w:rsidR="00B10B0D" w:rsidRPr="00FE6F63" w:rsidRDefault="00B10B0D">
      <w:pPr>
        <w:rPr>
          <w:rFonts w:ascii="Calibri" w:hAnsi="Calibri"/>
          <w:sz w:val="22"/>
        </w:rPr>
      </w:pPr>
    </w:p>
    <w:p w:rsidR="00BE5B58" w:rsidRPr="00FE6F63" w:rsidRDefault="001A5748">
      <w:pPr>
        <w:rPr>
          <w:rFonts w:ascii="Calibri" w:hAnsi="Calibri"/>
          <w:sz w:val="22"/>
        </w:rPr>
      </w:pPr>
      <w:r w:rsidRPr="00FE6F63">
        <w:rPr>
          <w:rFonts w:ascii="Calibri" w:hAnsi="Calibri"/>
          <w:b/>
          <w:sz w:val="22"/>
        </w:rPr>
        <w:t>WHEREAS</w:t>
      </w:r>
      <w:r w:rsidRPr="00FE6F63">
        <w:rPr>
          <w:rFonts w:ascii="Calibri" w:hAnsi="Calibri"/>
          <w:sz w:val="22"/>
        </w:rPr>
        <w:t xml:space="preserve">, </w:t>
      </w:r>
      <w:r w:rsidR="0031132A" w:rsidRPr="00FE6F63">
        <w:rPr>
          <w:rFonts w:ascii="Calibri" w:hAnsi="Calibri"/>
          <w:sz w:val="22"/>
        </w:rPr>
        <w:t>in accordance with the definitions of the Indian Self-Determination and Education Assistance Act at 25 USCS § 450b, a tribal organization is recognized as a governing body of any Indian tribe</w:t>
      </w:r>
      <w:r w:rsidR="00BE5B58" w:rsidRPr="00FE6F63">
        <w:rPr>
          <w:rFonts w:ascii="Calibri" w:hAnsi="Calibri"/>
          <w:sz w:val="22"/>
        </w:rPr>
        <w:t xml:space="preserve"> and includes </w:t>
      </w:r>
      <w:r w:rsidR="0031132A" w:rsidRPr="00FE6F63">
        <w:rPr>
          <w:rFonts w:ascii="Calibri" w:hAnsi="Calibri"/>
          <w:sz w:val="22"/>
        </w:rPr>
        <w:t xml:space="preserve">any legally established organization of Indians which is controlled, sanctioned, or chartered by </w:t>
      </w:r>
      <w:proofErr w:type="gramStart"/>
      <w:r w:rsidR="0031132A" w:rsidRPr="00FE6F63">
        <w:rPr>
          <w:rFonts w:ascii="Calibri" w:hAnsi="Calibri"/>
          <w:sz w:val="22"/>
        </w:rPr>
        <w:t>such</w:t>
      </w:r>
      <w:proofErr w:type="gramEnd"/>
      <w:r w:rsidR="0031132A" w:rsidRPr="00FE6F63">
        <w:rPr>
          <w:rFonts w:ascii="Calibri" w:hAnsi="Calibri"/>
          <w:sz w:val="22"/>
        </w:rPr>
        <w:t xml:space="preserve"> governing body or which is democratically elected by the adult members of the Indian community to be served by such organization</w:t>
      </w:r>
      <w:r w:rsidR="00C77E6D" w:rsidRPr="00FE6F63">
        <w:rPr>
          <w:rFonts w:ascii="Calibri" w:hAnsi="Calibri"/>
          <w:sz w:val="22"/>
        </w:rPr>
        <w:t xml:space="preserve"> and which includes the maximum participation of Indians in all phases of its activities</w:t>
      </w:r>
      <w:r w:rsidR="00BE5B58" w:rsidRPr="00FE6F63">
        <w:rPr>
          <w:rFonts w:ascii="Calibri" w:hAnsi="Calibri"/>
          <w:sz w:val="22"/>
        </w:rPr>
        <w:t xml:space="preserve">; and </w:t>
      </w:r>
    </w:p>
    <w:p w:rsidR="00BE5B58" w:rsidRPr="00FE6F63" w:rsidRDefault="00BE5B58">
      <w:pPr>
        <w:rPr>
          <w:rFonts w:ascii="Calibri" w:hAnsi="Calibri"/>
          <w:sz w:val="22"/>
        </w:rPr>
      </w:pPr>
    </w:p>
    <w:p w:rsidR="00623E69" w:rsidRPr="00623E69" w:rsidRDefault="00623E69" w:rsidP="00623E69">
      <w:pPr>
        <w:rPr>
          <w:rFonts w:ascii="Calibri" w:hAnsi="Calibri"/>
          <w:sz w:val="22"/>
        </w:rPr>
      </w:pPr>
      <w:r w:rsidRPr="00623E69">
        <w:rPr>
          <w:rFonts w:ascii="Calibri" w:hAnsi="Calibri"/>
          <w:b/>
          <w:sz w:val="22"/>
        </w:rPr>
        <w:t>WHEREAS</w:t>
      </w:r>
      <w:r>
        <w:rPr>
          <w:rFonts w:ascii="Calibri" w:hAnsi="Calibri"/>
          <w:sz w:val="22"/>
        </w:rPr>
        <w:t xml:space="preserve">, </w:t>
      </w:r>
      <w:r w:rsidRPr="00623E69">
        <w:rPr>
          <w:rFonts w:ascii="Calibri" w:hAnsi="Calibri"/>
          <w:sz w:val="22"/>
        </w:rPr>
        <w:t xml:space="preserve">the Northwest Portland Area Indian Health Board is dedicated to assisting and promoting the health needs and concerns of Indian people; and </w:t>
      </w:r>
    </w:p>
    <w:p w:rsidR="00623E69" w:rsidRPr="00623E69" w:rsidRDefault="00623E69" w:rsidP="00623E69">
      <w:pPr>
        <w:rPr>
          <w:rFonts w:ascii="Calibri" w:hAnsi="Calibri"/>
          <w:sz w:val="22"/>
        </w:rPr>
      </w:pPr>
    </w:p>
    <w:p w:rsidR="00623E69" w:rsidRDefault="00623E69" w:rsidP="00623E69">
      <w:pPr>
        <w:rPr>
          <w:rFonts w:ascii="Calibri" w:hAnsi="Calibri"/>
          <w:sz w:val="22"/>
        </w:rPr>
      </w:pPr>
      <w:r w:rsidRPr="00623E69">
        <w:rPr>
          <w:rFonts w:ascii="Calibri" w:hAnsi="Calibri"/>
          <w:b/>
          <w:sz w:val="22"/>
        </w:rPr>
        <w:t>WHEREAS</w:t>
      </w:r>
      <w:r w:rsidRPr="00623E69">
        <w:rPr>
          <w:rFonts w:ascii="Calibri" w:hAnsi="Calibri"/>
          <w:sz w:val="22"/>
        </w:rPr>
        <w:t xml:space="preserve">, the primary goal of the NPAIHB is to improve the health and quality of life of its member Tribes; and  </w:t>
      </w:r>
    </w:p>
    <w:p w:rsidR="00D30A2F" w:rsidRPr="00D30A2F" w:rsidRDefault="00D30A2F" w:rsidP="00623E69">
      <w:pPr>
        <w:rPr>
          <w:rFonts w:ascii="Calibri" w:hAnsi="Calibri"/>
          <w:b/>
          <w:sz w:val="22"/>
        </w:rPr>
      </w:pPr>
    </w:p>
    <w:p w:rsidR="00D30A2F" w:rsidRPr="00D30A2F" w:rsidRDefault="00D30A2F" w:rsidP="00623E69">
      <w:pPr>
        <w:rPr>
          <w:rFonts w:ascii="Calibri" w:hAnsi="Calibri"/>
          <w:sz w:val="22"/>
        </w:rPr>
      </w:pPr>
      <w:r w:rsidRPr="00D30A2F">
        <w:rPr>
          <w:rFonts w:ascii="Calibri" w:hAnsi="Calibri"/>
          <w:b/>
          <w:sz w:val="22"/>
        </w:rPr>
        <w:t>WHEREAS,</w:t>
      </w:r>
      <w:r>
        <w:rPr>
          <w:rFonts w:ascii="Calibri" w:hAnsi="Calibri"/>
          <w:b/>
          <w:sz w:val="22"/>
        </w:rPr>
        <w:t xml:space="preserve"> </w:t>
      </w:r>
      <w:r>
        <w:rPr>
          <w:rFonts w:ascii="Calibri" w:hAnsi="Calibri"/>
          <w:sz w:val="22"/>
        </w:rPr>
        <w:t>the NPAIHB Tribal Epidemiology Cente</w:t>
      </w:r>
      <w:r w:rsidR="007054CC">
        <w:rPr>
          <w:rFonts w:ascii="Calibri" w:hAnsi="Calibri"/>
          <w:sz w:val="22"/>
        </w:rPr>
        <w:t>r receives funds from agencies in the federal Department of Health and Human Resources for projects that include research components</w:t>
      </w:r>
      <w:r w:rsidR="00263313">
        <w:rPr>
          <w:rFonts w:ascii="Calibri" w:hAnsi="Calibri"/>
          <w:sz w:val="22"/>
        </w:rPr>
        <w:t xml:space="preserve"> with a purpose of providing various health data to participating tribe in support of the primary goal</w:t>
      </w:r>
      <w:r w:rsidR="007054CC">
        <w:rPr>
          <w:rFonts w:ascii="Calibri" w:hAnsi="Calibri"/>
          <w:sz w:val="22"/>
        </w:rPr>
        <w:t>; and</w:t>
      </w:r>
      <w:r>
        <w:rPr>
          <w:rFonts w:ascii="Calibri" w:hAnsi="Calibri"/>
          <w:sz w:val="22"/>
        </w:rPr>
        <w:t xml:space="preserve"> </w:t>
      </w:r>
    </w:p>
    <w:p w:rsidR="00623E69" w:rsidRPr="00623E69" w:rsidRDefault="00623E69" w:rsidP="00623E69">
      <w:pPr>
        <w:rPr>
          <w:rFonts w:ascii="Calibri" w:hAnsi="Calibri"/>
          <w:b/>
          <w:sz w:val="22"/>
        </w:rPr>
      </w:pPr>
    </w:p>
    <w:p w:rsidR="00593659" w:rsidRDefault="007D3FED" w:rsidP="007A25C2">
      <w:pPr>
        <w:rPr>
          <w:rFonts w:ascii="Calibri" w:hAnsi="Calibri"/>
          <w:sz w:val="22"/>
        </w:rPr>
      </w:pPr>
      <w:r w:rsidRPr="00FE6F63">
        <w:rPr>
          <w:rFonts w:ascii="Calibri" w:hAnsi="Calibri"/>
          <w:b/>
          <w:sz w:val="22"/>
        </w:rPr>
        <w:t>WHEREAS</w:t>
      </w:r>
      <w:r w:rsidRPr="00FE6F63">
        <w:rPr>
          <w:rFonts w:ascii="Calibri" w:hAnsi="Calibri"/>
          <w:sz w:val="22"/>
        </w:rPr>
        <w:t>,</w:t>
      </w:r>
      <w:r w:rsidR="008E44B1">
        <w:rPr>
          <w:rFonts w:ascii="Calibri" w:hAnsi="Calibri"/>
          <w:sz w:val="22"/>
        </w:rPr>
        <w:t xml:space="preserve"> </w:t>
      </w:r>
      <w:r w:rsidR="00D30A2F">
        <w:rPr>
          <w:rFonts w:ascii="Calibri" w:hAnsi="Calibri"/>
          <w:sz w:val="22"/>
        </w:rPr>
        <w:t>the Congress has passed a regulation regarding financial conflict of interest in research funded by the Department of Health and Human Resources</w:t>
      </w:r>
      <w:r w:rsidR="00593659">
        <w:rPr>
          <w:rFonts w:ascii="Calibri" w:hAnsi="Calibri"/>
          <w:sz w:val="22"/>
        </w:rPr>
        <w:t xml:space="preserve"> that took effect in August 2012</w:t>
      </w:r>
      <w:r w:rsidR="00D30A2F">
        <w:rPr>
          <w:rFonts w:ascii="Calibri" w:hAnsi="Calibri"/>
          <w:sz w:val="22"/>
        </w:rPr>
        <w:t>; and</w:t>
      </w:r>
    </w:p>
    <w:p w:rsidR="00593659" w:rsidRPr="0025541F" w:rsidRDefault="00593659" w:rsidP="007A25C2">
      <w:pPr>
        <w:rPr>
          <w:rFonts w:ascii="Calibri" w:hAnsi="Calibri"/>
          <w:b/>
          <w:sz w:val="22"/>
        </w:rPr>
      </w:pPr>
    </w:p>
    <w:p w:rsidR="002B2500" w:rsidRDefault="00593659" w:rsidP="007A25C2">
      <w:pPr>
        <w:rPr>
          <w:rFonts w:ascii="Calibri" w:hAnsi="Calibri"/>
          <w:sz w:val="22"/>
        </w:rPr>
      </w:pPr>
      <w:r w:rsidRPr="0025541F">
        <w:rPr>
          <w:rFonts w:ascii="Calibri" w:hAnsi="Calibri"/>
          <w:b/>
          <w:sz w:val="22"/>
        </w:rPr>
        <w:t>WHEREAS</w:t>
      </w:r>
      <w:r>
        <w:rPr>
          <w:rFonts w:ascii="Calibri" w:hAnsi="Calibri"/>
          <w:sz w:val="22"/>
        </w:rPr>
        <w:t>, the new regulation requires that all contractors and grantees</w:t>
      </w:r>
      <w:r w:rsidR="00263313">
        <w:rPr>
          <w:rFonts w:ascii="Calibri" w:hAnsi="Calibri"/>
          <w:sz w:val="22"/>
        </w:rPr>
        <w:t xml:space="preserve"> doing research must have </w:t>
      </w:r>
      <w:r>
        <w:rPr>
          <w:rFonts w:ascii="Calibri" w:hAnsi="Calibri"/>
          <w:sz w:val="22"/>
        </w:rPr>
        <w:t xml:space="preserve">a policy </w:t>
      </w:r>
      <w:r w:rsidR="0025541F">
        <w:rPr>
          <w:rFonts w:ascii="Calibri" w:hAnsi="Calibri"/>
          <w:sz w:val="22"/>
        </w:rPr>
        <w:t>regarding financial conflict of int</w:t>
      </w:r>
      <w:r w:rsidR="00263313">
        <w:rPr>
          <w:rFonts w:ascii="Calibri" w:hAnsi="Calibri"/>
          <w:sz w:val="22"/>
        </w:rPr>
        <w:t xml:space="preserve">erest containing specific items such as Investigator </w:t>
      </w:r>
      <w:r w:rsidR="0025541F">
        <w:rPr>
          <w:rFonts w:ascii="Calibri" w:hAnsi="Calibri"/>
          <w:sz w:val="22"/>
        </w:rPr>
        <w:t>disclosure of such conflict of interest, reporting of the conflict of interest</w:t>
      </w:r>
      <w:r w:rsidR="00263313">
        <w:rPr>
          <w:rFonts w:ascii="Calibri" w:hAnsi="Calibri"/>
          <w:sz w:val="22"/>
        </w:rPr>
        <w:t xml:space="preserve">, a plan </w:t>
      </w:r>
      <w:r w:rsidR="0025541F">
        <w:rPr>
          <w:rFonts w:ascii="Calibri" w:hAnsi="Calibri"/>
          <w:sz w:val="22"/>
        </w:rPr>
        <w:t>f</w:t>
      </w:r>
      <w:r w:rsidR="00263313">
        <w:rPr>
          <w:rFonts w:ascii="Calibri" w:hAnsi="Calibri"/>
          <w:sz w:val="22"/>
        </w:rPr>
        <w:t>or</w:t>
      </w:r>
      <w:r w:rsidR="0025541F">
        <w:rPr>
          <w:rFonts w:ascii="Calibri" w:hAnsi="Calibri"/>
          <w:sz w:val="22"/>
        </w:rPr>
        <w:t xml:space="preserve"> addressing </w:t>
      </w:r>
      <w:r w:rsidR="00263313">
        <w:rPr>
          <w:rFonts w:ascii="Calibri" w:hAnsi="Calibri"/>
          <w:sz w:val="22"/>
        </w:rPr>
        <w:t>such</w:t>
      </w:r>
      <w:r w:rsidR="0025541F">
        <w:rPr>
          <w:rFonts w:ascii="Calibri" w:hAnsi="Calibri"/>
          <w:sz w:val="22"/>
        </w:rPr>
        <w:t xml:space="preserve"> conflict, and the posting on a publicly accessible website the policy and any conflicts of interest; and</w:t>
      </w:r>
    </w:p>
    <w:p w:rsidR="002B2500" w:rsidRDefault="002B2500" w:rsidP="007A25C2">
      <w:pPr>
        <w:rPr>
          <w:rFonts w:ascii="Calibri" w:hAnsi="Calibri"/>
          <w:sz w:val="22"/>
        </w:rPr>
      </w:pPr>
    </w:p>
    <w:p w:rsidR="00055043" w:rsidRDefault="002B2500" w:rsidP="007A25C2">
      <w:pPr>
        <w:rPr>
          <w:rFonts w:ascii="Calibri" w:hAnsi="Calibri"/>
          <w:sz w:val="22"/>
        </w:rPr>
      </w:pPr>
      <w:r w:rsidRPr="002B2500">
        <w:rPr>
          <w:rFonts w:ascii="Calibri" w:hAnsi="Calibri"/>
          <w:b/>
          <w:sz w:val="22"/>
        </w:rPr>
        <w:t>WHEREAS</w:t>
      </w:r>
      <w:r>
        <w:rPr>
          <w:rFonts w:ascii="Calibri" w:hAnsi="Calibri"/>
          <w:sz w:val="22"/>
        </w:rPr>
        <w:t>, t</w:t>
      </w:r>
      <w:r w:rsidR="007A25C2">
        <w:rPr>
          <w:rFonts w:ascii="Calibri" w:hAnsi="Calibri"/>
          <w:sz w:val="22"/>
        </w:rPr>
        <w:t xml:space="preserve">he </w:t>
      </w:r>
      <w:r w:rsidR="007054CC">
        <w:rPr>
          <w:rFonts w:ascii="Calibri" w:hAnsi="Calibri"/>
          <w:sz w:val="22"/>
        </w:rPr>
        <w:t xml:space="preserve">NPAIHB maintains </w:t>
      </w:r>
      <w:r w:rsidR="00DB0710">
        <w:rPr>
          <w:rFonts w:ascii="Calibri" w:hAnsi="Calibri"/>
          <w:sz w:val="22"/>
        </w:rPr>
        <w:t xml:space="preserve"> </w:t>
      </w:r>
      <w:r w:rsidR="007054CC">
        <w:rPr>
          <w:rFonts w:ascii="Calibri" w:hAnsi="Calibri"/>
          <w:sz w:val="22"/>
        </w:rPr>
        <w:t xml:space="preserve">a Program Operations Manual that contains Personnel  </w:t>
      </w:r>
      <w:r w:rsidR="00593659">
        <w:rPr>
          <w:rFonts w:ascii="Calibri" w:hAnsi="Calibri"/>
          <w:sz w:val="22"/>
        </w:rPr>
        <w:t>Policies that already include</w:t>
      </w:r>
      <w:r w:rsidR="007054CC">
        <w:rPr>
          <w:rFonts w:ascii="Calibri" w:hAnsi="Calibri"/>
          <w:sz w:val="22"/>
        </w:rPr>
        <w:t xml:space="preserve"> a policy regarding Research Misconduct</w:t>
      </w:r>
      <w:r w:rsidR="00B75E2F">
        <w:rPr>
          <w:rFonts w:ascii="Calibri" w:hAnsi="Calibri"/>
          <w:sz w:val="22"/>
        </w:rPr>
        <w:t xml:space="preserve">, </w:t>
      </w:r>
      <w:r w:rsidR="00593659">
        <w:rPr>
          <w:rFonts w:ascii="Calibri" w:hAnsi="Calibri"/>
          <w:sz w:val="22"/>
        </w:rPr>
        <w:t>and the Program Operations Manual would be the appropriate place to include a financ</w:t>
      </w:r>
      <w:r w:rsidR="00DB0710">
        <w:rPr>
          <w:rFonts w:ascii="Calibri" w:hAnsi="Calibri"/>
          <w:sz w:val="22"/>
        </w:rPr>
        <w:t xml:space="preserve">ial conflict of interest </w:t>
      </w:r>
      <w:r w:rsidR="00593659">
        <w:rPr>
          <w:rFonts w:ascii="Calibri" w:hAnsi="Calibri"/>
          <w:sz w:val="22"/>
        </w:rPr>
        <w:t>in research policy; and</w:t>
      </w:r>
    </w:p>
    <w:p w:rsidR="00DB0710" w:rsidRDefault="00DB0710" w:rsidP="007A25C2">
      <w:pPr>
        <w:rPr>
          <w:rFonts w:ascii="Calibri" w:hAnsi="Calibri"/>
          <w:sz w:val="22"/>
        </w:rPr>
      </w:pPr>
    </w:p>
    <w:p w:rsidR="00DB0710" w:rsidRDefault="00DB0710" w:rsidP="007A25C2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WHEREAS, the NPAIHB maintains a website that is accessible to the public and that website already posts organization documents, including the Program Operations Manual; and</w:t>
      </w:r>
    </w:p>
    <w:p w:rsidR="007D3FED" w:rsidRPr="00FE6F63" w:rsidRDefault="007D3FED">
      <w:pPr>
        <w:rPr>
          <w:rFonts w:ascii="Calibri" w:hAnsi="Calibri"/>
          <w:sz w:val="22"/>
        </w:rPr>
      </w:pPr>
    </w:p>
    <w:p w:rsidR="00A02FEE" w:rsidRDefault="00DB0710" w:rsidP="00055043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WHEREAS, the NPAIHB Personnel Committee has reviewed a draft conflict of interest in research policy prepared by staff, per the NPAIHB requirements of any changes in the Program Operations Manual; and </w:t>
      </w:r>
    </w:p>
    <w:p w:rsidR="00263313" w:rsidRDefault="00D422A2" w:rsidP="00055043">
      <w:pPr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NOW THEREFORE BE IT RESOLVED, </w:t>
      </w:r>
      <w:r w:rsidR="006029F1">
        <w:rPr>
          <w:rFonts w:ascii="Calibri" w:hAnsi="Calibri"/>
          <w:sz w:val="22"/>
        </w:rPr>
        <w:t xml:space="preserve">that </w:t>
      </w:r>
      <w:r w:rsidR="00314388">
        <w:rPr>
          <w:rFonts w:ascii="Calibri" w:hAnsi="Calibri"/>
          <w:sz w:val="22"/>
        </w:rPr>
        <w:t>the draft policy reviewe</w:t>
      </w:r>
      <w:r w:rsidR="00263313">
        <w:rPr>
          <w:rFonts w:ascii="Calibri" w:hAnsi="Calibri"/>
          <w:sz w:val="22"/>
        </w:rPr>
        <w:t>d by the Personnel Committee be added to the Program Operations, per its Decision of January 23, 2013.</w:t>
      </w:r>
    </w:p>
    <w:p w:rsidR="003E31C7" w:rsidRPr="006029F1" w:rsidRDefault="00263313" w:rsidP="003E31C7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</w:p>
    <w:p w:rsidR="003E31C7" w:rsidRPr="00FE6F63" w:rsidRDefault="003E31C7" w:rsidP="00055043">
      <w:pPr>
        <w:rPr>
          <w:rFonts w:ascii="Calibri" w:hAnsi="Calibri"/>
          <w:sz w:val="22"/>
        </w:rPr>
      </w:pPr>
    </w:p>
    <w:sectPr w:rsidR="003E31C7" w:rsidRPr="00FE6F63" w:rsidSect="00834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C60" w:rsidRDefault="007F4C60" w:rsidP="002C63D1">
      <w:r>
        <w:separator/>
      </w:r>
    </w:p>
  </w:endnote>
  <w:endnote w:type="continuationSeparator" w:id="0">
    <w:p w:rsidR="007F4C60" w:rsidRDefault="007F4C60" w:rsidP="002C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C60" w:rsidRDefault="007F4C60" w:rsidP="002C63D1">
      <w:r>
        <w:separator/>
      </w:r>
    </w:p>
  </w:footnote>
  <w:footnote w:type="continuationSeparator" w:id="0">
    <w:p w:rsidR="007F4C60" w:rsidRDefault="007F4C60" w:rsidP="002C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" o:bullet="t"/>
    </w:pict>
  </w:numPicBullet>
  <w:numPicBullet w:numPicBulletId="1">
    <w:pict>
      <v:shape id="_x0000_i1037" type="#_x0000_t75" style="width:3in;height:3in" o:bullet="t"/>
    </w:pict>
  </w:numPicBullet>
  <w:abstractNum w:abstractNumId="0">
    <w:nsid w:val="65E12744"/>
    <w:multiLevelType w:val="multilevel"/>
    <w:tmpl w:val="33F4A70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BB"/>
    <w:rsid w:val="00027A7B"/>
    <w:rsid w:val="00055043"/>
    <w:rsid w:val="001078D4"/>
    <w:rsid w:val="00127763"/>
    <w:rsid w:val="00136078"/>
    <w:rsid w:val="00144D48"/>
    <w:rsid w:val="00190D59"/>
    <w:rsid w:val="001A5748"/>
    <w:rsid w:val="001C1F76"/>
    <w:rsid w:val="001E25F5"/>
    <w:rsid w:val="001E5DF3"/>
    <w:rsid w:val="0025541F"/>
    <w:rsid w:val="00263313"/>
    <w:rsid w:val="00282E2B"/>
    <w:rsid w:val="002B2500"/>
    <w:rsid w:val="002C5D80"/>
    <w:rsid w:val="002C63D1"/>
    <w:rsid w:val="00303C5C"/>
    <w:rsid w:val="00304609"/>
    <w:rsid w:val="0031132A"/>
    <w:rsid w:val="00314388"/>
    <w:rsid w:val="0035511E"/>
    <w:rsid w:val="003E0ED9"/>
    <w:rsid w:val="003E31C7"/>
    <w:rsid w:val="004A604F"/>
    <w:rsid w:val="004E2A02"/>
    <w:rsid w:val="00520F17"/>
    <w:rsid w:val="00552703"/>
    <w:rsid w:val="005816B6"/>
    <w:rsid w:val="00593659"/>
    <w:rsid w:val="005D2F31"/>
    <w:rsid w:val="005F5A5D"/>
    <w:rsid w:val="006029F1"/>
    <w:rsid w:val="00623E69"/>
    <w:rsid w:val="006720D4"/>
    <w:rsid w:val="006D57A6"/>
    <w:rsid w:val="00701704"/>
    <w:rsid w:val="007054CC"/>
    <w:rsid w:val="007216C9"/>
    <w:rsid w:val="007A25C2"/>
    <w:rsid w:val="007C13FF"/>
    <w:rsid w:val="007D3FED"/>
    <w:rsid w:val="007E481F"/>
    <w:rsid w:val="007F4C60"/>
    <w:rsid w:val="007F5F88"/>
    <w:rsid w:val="00834CBD"/>
    <w:rsid w:val="00864C18"/>
    <w:rsid w:val="008E44B1"/>
    <w:rsid w:val="008F6860"/>
    <w:rsid w:val="00935900"/>
    <w:rsid w:val="009536D2"/>
    <w:rsid w:val="009714FE"/>
    <w:rsid w:val="009812AB"/>
    <w:rsid w:val="00982FF4"/>
    <w:rsid w:val="009B46A1"/>
    <w:rsid w:val="00A02FEE"/>
    <w:rsid w:val="00AB2D9F"/>
    <w:rsid w:val="00AB6016"/>
    <w:rsid w:val="00B10B0D"/>
    <w:rsid w:val="00B44B00"/>
    <w:rsid w:val="00B47901"/>
    <w:rsid w:val="00B52F61"/>
    <w:rsid w:val="00B75E2F"/>
    <w:rsid w:val="00B81BBB"/>
    <w:rsid w:val="00B93E50"/>
    <w:rsid w:val="00BE5B58"/>
    <w:rsid w:val="00C77E6D"/>
    <w:rsid w:val="00C8488F"/>
    <w:rsid w:val="00CA5C80"/>
    <w:rsid w:val="00D30A2F"/>
    <w:rsid w:val="00D422A2"/>
    <w:rsid w:val="00D47430"/>
    <w:rsid w:val="00DB0710"/>
    <w:rsid w:val="00E61D5F"/>
    <w:rsid w:val="00E7613E"/>
    <w:rsid w:val="00E77074"/>
    <w:rsid w:val="00ED5469"/>
    <w:rsid w:val="00FE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5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5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8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2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32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37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85970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1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3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0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1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20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332744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WHEREAS, the Northwest Portland Area Indian Health Board (NPAIHB) is a Tribal organization under P</vt:lpstr>
    </vt:vector>
  </TitlesOfParts>
  <Company>NPAIHB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WHEREAS, the Northwest Portland Area Indian Health Board (NPAIHB) is a Tribal organization under P</dc:title>
  <dc:creator>jroberts</dc:creator>
  <cp:lastModifiedBy>Jacqueline Left Hand Bull</cp:lastModifiedBy>
  <cp:revision>5</cp:revision>
  <cp:lastPrinted>2013-01-25T16:29:00Z</cp:lastPrinted>
  <dcterms:created xsi:type="dcterms:W3CDTF">2013-01-24T16:47:00Z</dcterms:created>
  <dcterms:modified xsi:type="dcterms:W3CDTF">2013-01-24T18:37:00Z</dcterms:modified>
</cp:coreProperties>
</file>