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32" w:rsidRPr="00613904" w:rsidRDefault="00CA5CE1" w:rsidP="00613904">
      <w:pPr>
        <w:jc w:val="center"/>
        <w:rPr>
          <w:rFonts w:ascii="Arial" w:hAnsi="Arial" w:cs="Arial"/>
          <w:sz w:val="24"/>
          <w:szCs w:val="24"/>
        </w:rPr>
      </w:pPr>
      <w:r w:rsidRPr="00613904">
        <w:rPr>
          <w:rFonts w:ascii="Arial" w:hAnsi="Arial" w:cs="Arial"/>
          <w:b/>
          <w:bCs/>
          <w:sz w:val="32"/>
          <w:szCs w:val="32"/>
          <w:u w:val="single"/>
        </w:rPr>
        <w:t>Sexual Orientation Terminology</w:t>
      </w:r>
    </w:p>
    <w:tbl>
      <w:tblPr>
        <w:tblStyle w:val="TableGrid"/>
        <w:tblpPr w:leftFromText="180" w:rightFromText="180" w:vertAnchor="page" w:horzAnchor="margin" w:tblpXSpec="center" w:tblpY="2161"/>
        <w:tblW w:w="14514" w:type="dxa"/>
        <w:tblLook w:val="04A0" w:firstRow="1" w:lastRow="0" w:firstColumn="1" w:lastColumn="0" w:noHBand="0" w:noVBand="1"/>
      </w:tblPr>
      <w:tblGrid>
        <w:gridCol w:w="2937"/>
        <w:gridCol w:w="11577"/>
      </w:tblGrid>
      <w:tr w:rsidR="00613904" w:rsidTr="00613904">
        <w:trPr>
          <w:trHeight w:val="341"/>
        </w:trPr>
        <w:tc>
          <w:tcPr>
            <w:tcW w:w="2425" w:type="dxa"/>
            <w:shd w:val="clear" w:color="auto" w:fill="F2F2F2" w:themeFill="background1" w:themeFillShade="F2"/>
          </w:tcPr>
          <w:p w:rsidR="00613904" w:rsidRPr="006C152E" w:rsidRDefault="00613904" w:rsidP="00613904">
            <w:pPr>
              <w:rPr>
                <w:rFonts w:ascii="Arial" w:hAnsi="Arial" w:cs="Arial"/>
                <w:b/>
                <w:bCs/>
                <w:sz w:val="28"/>
                <w:szCs w:val="18"/>
              </w:rPr>
            </w:pPr>
            <w:r w:rsidRPr="006C152E">
              <w:rPr>
                <w:rFonts w:ascii="Arial" w:hAnsi="Arial" w:cs="Arial"/>
                <w:b/>
                <w:bCs/>
                <w:sz w:val="28"/>
                <w:szCs w:val="18"/>
              </w:rPr>
              <w:t>Terminology</w:t>
            </w:r>
          </w:p>
        </w:tc>
        <w:tc>
          <w:tcPr>
            <w:tcW w:w="12089" w:type="dxa"/>
            <w:shd w:val="clear" w:color="auto" w:fill="F2F2F2" w:themeFill="background1" w:themeFillShade="F2"/>
          </w:tcPr>
          <w:p w:rsidR="00613904" w:rsidRPr="006C152E" w:rsidRDefault="00613904" w:rsidP="00613904">
            <w:pPr>
              <w:rPr>
                <w:rFonts w:ascii="Arial" w:hAnsi="Arial" w:cs="Arial"/>
                <w:b/>
                <w:bCs/>
                <w:sz w:val="28"/>
                <w:szCs w:val="18"/>
              </w:rPr>
            </w:pPr>
            <w:r w:rsidRPr="006C152E">
              <w:rPr>
                <w:rFonts w:ascii="Arial" w:hAnsi="Arial" w:cs="Arial"/>
                <w:b/>
                <w:bCs/>
                <w:sz w:val="28"/>
                <w:szCs w:val="18"/>
              </w:rPr>
              <w:t>Definition</w:t>
            </w:r>
          </w:p>
        </w:tc>
      </w:tr>
      <w:tr w:rsidR="00613904" w:rsidTr="00613904">
        <w:trPr>
          <w:trHeight w:val="341"/>
        </w:trPr>
        <w:tc>
          <w:tcPr>
            <w:tcW w:w="2425" w:type="dxa"/>
            <w:shd w:val="clear" w:color="auto" w:fill="FFFFFF" w:themeFill="background1"/>
          </w:tcPr>
          <w:p w:rsidR="00613904" w:rsidRPr="006C152E" w:rsidRDefault="00613904" w:rsidP="00613904">
            <w:pPr>
              <w:rPr>
                <w:rFonts w:ascii="Arial" w:hAnsi="Arial" w:cs="Arial"/>
                <w:b/>
                <w:bCs/>
                <w:sz w:val="24"/>
                <w:szCs w:val="18"/>
              </w:rPr>
            </w:pPr>
            <w:r w:rsidRPr="006C152E">
              <w:rPr>
                <w:rFonts w:ascii="Arial" w:hAnsi="Arial" w:cs="Arial"/>
                <w:b/>
                <w:bCs/>
                <w:sz w:val="24"/>
                <w:szCs w:val="18"/>
              </w:rPr>
              <w:t xml:space="preserve">Asexual </w:t>
            </w:r>
          </w:p>
        </w:tc>
        <w:tc>
          <w:tcPr>
            <w:tcW w:w="12089" w:type="dxa"/>
            <w:shd w:val="clear" w:color="auto" w:fill="FFFFFF" w:themeFill="background1"/>
          </w:tcPr>
          <w:p w:rsidR="00613904" w:rsidRPr="006C152E" w:rsidRDefault="00613904" w:rsidP="00613904">
            <w:pPr>
              <w:rPr>
                <w:rFonts w:ascii="Arial" w:hAnsi="Arial" w:cs="Arial"/>
                <w:b/>
                <w:bCs/>
                <w:sz w:val="24"/>
                <w:szCs w:val="18"/>
              </w:rPr>
            </w:pPr>
            <w:r w:rsidRPr="006C152E">
              <w:rPr>
                <w:rFonts w:ascii="Arial" w:hAnsi="Arial" w:cs="Arial"/>
                <w:sz w:val="24"/>
              </w:rPr>
              <w:t>A person who is not interested in sexual acts of intimacy, but rather other means of connecting with another person.</w:t>
            </w:r>
          </w:p>
        </w:tc>
      </w:tr>
      <w:tr w:rsidR="00613904" w:rsidTr="006F7D2C">
        <w:trPr>
          <w:trHeight w:val="989"/>
        </w:trPr>
        <w:tc>
          <w:tcPr>
            <w:tcW w:w="2425" w:type="dxa"/>
          </w:tcPr>
          <w:p w:rsidR="00613904" w:rsidRPr="006C152E" w:rsidRDefault="00613904" w:rsidP="00613904">
            <w:pPr>
              <w:rPr>
                <w:rFonts w:ascii="Arial" w:hAnsi="Arial" w:cs="Arial"/>
                <w:b/>
                <w:bCs/>
                <w:sz w:val="24"/>
                <w:szCs w:val="18"/>
              </w:rPr>
            </w:pPr>
            <w:r w:rsidRPr="006C152E">
              <w:rPr>
                <w:rFonts w:ascii="Arial" w:hAnsi="Arial" w:cs="Arial"/>
                <w:b/>
                <w:sz w:val="24"/>
              </w:rPr>
              <w:t>Biological Sex</w:t>
            </w:r>
          </w:p>
        </w:tc>
        <w:tc>
          <w:tcPr>
            <w:tcW w:w="12089" w:type="dxa"/>
          </w:tcPr>
          <w:p w:rsidR="00613904" w:rsidRPr="006C152E" w:rsidRDefault="00613904" w:rsidP="00613904">
            <w:pPr>
              <w:rPr>
                <w:rFonts w:ascii="Arial" w:hAnsi="Arial" w:cs="Arial"/>
                <w:sz w:val="24"/>
              </w:rPr>
            </w:pPr>
            <w:r w:rsidRPr="006C152E">
              <w:rPr>
                <w:rFonts w:ascii="Arial" w:hAnsi="Arial" w:cs="Arial"/>
                <w:sz w:val="24"/>
              </w:rPr>
              <w:t>In general terms, “sex” refers to the biological differences between males and females, such as the genitalia and genetic differences. For example, External Genitalia—vulva, vaginal opening, penis, scrotum; Reproductive Organs—ovaries, Fallopian tubes, vagina, uterus, testes, seminal vesicles, epididymis, vas deferens, prostate, penis; Genetic Mechanisms—chromosomes, genes, hormones; and, Secondary Sexual Characteristics (see below)</w:t>
            </w:r>
          </w:p>
        </w:tc>
      </w:tr>
      <w:tr w:rsidR="00613904" w:rsidTr="006F7D2C">
        <w:trPr>
          <w:trHeight w:val="359"/>
        </w:trPr>
        <w:tc>
          <w:tcPr>
            <w:tcW w:w="2425" w:type="dxa"/>
          </w:tcPr>
          <w:p w:rsidR="00613904" w:rsidRPr="006C152E" w:rsidRDefault="00613904" w:rsidP="00613904">
            <w:pPr>
              <w:rPr>
                <w:rFonts w:ascii="Arial" w:hAnsi="Arial" w:cs="Arial"/>
                <w:b/>
                <w:sz w:val="24"/>
              </w:rPr>
            </w:pPr>
            <w:r w:rsidRPr="006C152E">
              <w:rPr>
                <w:rFonts w:ascii="Arial" w:hAnsi="Arial" w:cs="Arial"/>
                <w:b/>
                <w:sz w:val="24"/>
              </w:rPr>
              <w:t xml:space="preserve">Bisexual </w:t>
            </w:r>
          </w:p>
        </w:tc>
        <w:tc>
          <w:tcPr>
            <w:tcW w:w="12089" w:type="dxa"/>
          </w:tcPr>
          <w:p w:rsidR="00613904" w:rsidRPr="006C152E" w:rsidRDefault="00613904" w:rsidP="00613904">
            <w:pPr>
              <w:rPr>
                <w:rFonts w:ascii="Arial" w:hAnsi="Arial" w:cs="Arial"/>
                <w:sz w:val="24"/>
              </w:rPr>
            </w:pPr>
            <w:r w:rsidRPr="006C152E">
              <w:rPr>
                <w:rFonts w:ascii="Arial" w:hAnsi="Arial" w:cs="Arial"/>
                <w:sz w:val="24"/>
              </w:rPr>
              <w:t>Romantic attraction, sexual attraction, or sexual behavior toward both males and females, or to more than one sex or gender</w:t>
            </w:r>
          </w:p>
        </w:tc>
      </w:tr>
      <w:tr w:rsidR="00613904" w:rsidTr="006F7D2C">
        <w:trPr>
          <w:trHeight w:val="350"/>
        </w:trPr>
        <w:tc>
          <w:tcPr>
            <w:tcW w:w="2425" w:type="dxa"/>
          </w:tcPr>
          <w:p w:rsidR="00613904" w:rsidRPr="006C152E" w:rsidRDefault="00613904" w:rsidP="00613904">
            <w:pPr>
              <w:rPr>
                <w:rFonts w:ascii="Arial" w:hAnsi="Arial" w:cs="Arial"/>
                <w:b/>
                <w:sz w:val="24"/>
              </w:rPr>
            </w:pPr>
            <w:r w:rsidRPr="006C152E">
              <w:rPr>
                <w:rFonts w:ascii="Arial" w:hAnsi="Arial" w:cs="Arial"/>
                <w:b/>
                <w:sz w:val="24"/>
              </w:rPr>
              <w:t>Gay</w:t>
            </w:r>
          </w:p>
        </w:tc>
        <w:tc>
          <w:tcPr>
            <w:tcW w:w="12089" w:type="dxa"/>
          </w:tcPr>
          <w:p w:rsidR="00613904" w:rsidRPr="006C152E" w:rsidRDefault="00613904" w:rsidP="00613904">
            <w:pPr>
              <w:rPr>
                <w:rFonts w:ascii="Arial" w:hAnsi="Arial" w:cs="Arial"/>
                <w:sz w:val="24"/>
              </w:rPr>
            </w:pPr>
            <w:r w:rsidRPr="006C152E">
              <w:rPr>
                <w:rFonts w:ascii="Arial" w:hAnsi="Arial" w:cs="Arial"/>
                <w:sz w:val="24"/>
                <w:lang w:bidi="en-US"/>
              </w:rPr>
              <w:t>A male-identified person who is emotionally, intellectually, romantically, spiritually attracted to another male-identified person</w:t>
            </w:r>
          </w:p>
        </w:tc>
      </w:tr>
      <w:tr w:rsidR="00613904" w:rsidTr="006F7D2C">
        <w:trPr>
          <w:trHeight w:val="350"/>
        </w:trPr>
        <w:tc>
          <w:tcPr>
            <w:tcW w:w="2425" w:type="dxa"/>
          </w:tcPr>
          <w:p w:rsidR="00613904" w:rsidRPr="006C152E" w:rsidRDefault="00613904" w:rsidP="00613904">
            <w:pPr>
              <w:rPr>
                <w:rFonts w:ascii="Arial" w:hAnsi="Arial" w:cs="Arial"/>
                <w:b/>
                <w:sz w:val="24"/>
              </w:rPr>
            </w:pPr>
            <w:r w:rsidRPr="006C152E">
              <w:rPr>
                <w:rFonts w:ascii="Arial" w:hAnsi="Arial" w:cs="Arial"/>
                <w:b/>
                <w:sz w:val="24"/>
              </w:rPr>
              <w:t>Heterosexual</w:t>
            </w:r>
          </w:p>
        </w:tc>
        <w:tc>
          <w:tcPr>
            <w:tcW w:w="12089" w:type="dxa"/>
          </w:tcPr>
          <w:p w:rsidR="00613904" w:rsidRPr="006C152E" w:rsidRDefault="00613904" w:rsidP="00613904">
            <w:pPr>
              <w:rPr>
                <w:rFonts w:ascii="Arial" w:hAnsi="Arial" w:cs="Arial"/>
                <w:sz w:val="24"/>
                <w:lang w:bidi="en-US"/>
              </w:rPr>
            </w:pPr>
            <w:r w:rsidRPr="006C152E">
              <w:rPr>
                <w:rFonts w:ascii="Arial" w:hAnsi="Arial" w:cs="Arial"/>
                <w:sz w:val="24"/>
              </w:rPr>
              <w:t>A person who is emotionally, intellectually, romantically, spiritually attracted to a person of the opposite-gender (based on the M/F binary)</w:t>
            </w:r>
          </w:p>
        </w:tc>
      </w:tr>
      <w:tr w:rsidR="00613904" w:rsidTr="006F7D2C">
        <w:trPr>
          <w:trHeight w:val="530"/>
        </w:trPr>
        <w:tc>
          <w:tcPr>
            <w:tcW w:w="2425" w:type="dxa"/>
          </w:tcPr>
          <w:p w:rsidR="00613904" w:rsidRPr="006C152E" w:rsidRDefault="00613904" w:rsidP="00613904">
            <w:pPr>
              <w:rPr>
                <w:rFonts w:ascii="Arial" w:hAnsi="Arial" w:cs="Arial"/>
                <w:b/>
                <w:sz w:val="24"/>
              </w:rPr>
            </w:pPr>
            <w:r w:rsidRPr="006C152E">
              <w:rPr>
                <w:rFonts w:ascii="Arial" w:hAnsi="Arial" w:cs="Arial"/>
                <w:b/>
                <w:sz w:val="24"/>
              </w:rPr>
              <w:t xml:space="preserve">Indigiqueer/Indigequeer </w:t>
            </w:r>
          </w:p>
        </w:tc>
        <w:tc>
          <w:tcPr>
            <w:tcW w:w="12089" w:type="dxa"/>
          </w:tcPr>
          <w:p w:rsidR="00613904" w:rsidRPr="006C152E" w:rsidRDefault="00613904" w:rsidP="00613904">
            <w:pPr>
              <w:rPr>
                <w:rFonts w:ascii="Arial" w:hAnsi="Arial" w:cs="Arial"/>
                <w:sz w:val="24"/>
              </w:rPr>
            </w:pPr>
            <w:r w:rsidRPr="006C152E">
              <w:rPr>
                <w:rFonts w:ascii="Arial" w:hAnsi="Arial" w:cs="Arial"/>
                <w:sz w:val="24"/>
              </w:rPr>
              <w:t>A recently created word that some Indigenous LGBTQ+ people use to define their sexuality and gender.  Indigiqueer (sometimes Indigequeer) could imply dual-gender, which some Indigenous people don’t feel describes their identity</w:t>
            </w:r>
          </w:p>
        </w:tc>
      </w:tr>
      <w:tr w:rsidR="00613904" w:rsidTr="006F7D2C">
        <w:trPr>
          <w:trHeight w:val="341"/>
        </w:trPr>
        <w:tc>
          <w:tcPr>
            <w:tcW w:w="2425" w:type="dxa"/>
          </w:tcPr>
          <w:p w:rsidR="00613904" w:rsidRPr="006C152E" w:rsidRDefault="00613904" w:rsidP="00613904">
            <w:pPr>
              <w:rPr>
                <w:rFonts w:ascii="Arial" w:hAnsi="Arial" w:cs="Arial"/>
                <w:b/>
                <w:sz w:val="24"/>
              </w:rPr>
            </w:pPr>
            <w:r w:rsidRPr="006C152E">
              <w:rPr>
                <w:rFonts w:ascii="Arial" w:hAnsi="Arial" w:cs="Arial"/>
                <w:b/>
                <w:sz w:val="24"/>
              </w:rPr>
              <w:t xml:space="preserve">Lesbian </w:t>
            </w:r>
          </w:p>
        </w:tc>
        <w:tc>
          <w:tcPr>
            <w:tcW w:w="12089" w:type="dxa"/>
          </w:tcPr>
          <w:p w:rsidR="00613904" w:rsidRPr="006C152E" w:rsidRDefault="00613904" w:rsidP="00613904">
            <w:pPr>
              <w:rPr>
                <w:rFonts w:ascii="Arial" w:hAnsi="Arial" w:cs="Arial"/>
                <w:sz w:val="24"/>
              </w:rPr>
            </w:pPr>
            <w:r w:rsidRPr="006C152E">
              <w:rPr>
                <w:rFonts w:ascii="Arial" w:hAnsi="Arial" w:cs="Arial"/>
                <w:sz w:val="24"/>
              </w:rPr>
              <w:t>A female-identified person who is emotionally, intellectually, romantically, spiritually attracted to another female-identified person</w:t>
            </w:r>
          </w:p>
        </w:tc>
      </w:tr>
      <w:tr w:rsidR="00613904" w:rsidTr="00613904">
        <w:trPr>
          <w:trHeight w:val="422"/>
        </w:trPr>
        <w:tc>
          <w:tcPr>
            <w:tcW w:w="2425" w:type="dxa"/>
          </w:tcPr>
          <w:p w:rsidR="00613904" w:rsidRPr="006C152E" w:rsidRDefault="00613904" w:rsidP="00613904">
            <w:pPr>
              <w:rPr>
                <w:rFonts w:ascii="Arial" w:hAnsi="Arial" w:cs="Arial"/>
                <w:b/>
                <w:sz w:val="24"/>
              </w:rPr>
            </w:pPr>
            <w:r w:rsidRPr="006C152E">
              <w:rPr>
                <w:rFonts w:ascii="Arial" w:hAnsi="Arial" w:cs="Arial"/>
                <w:b/>
                <w:sz w:val="24"/>
              </w:rPr>
              <w:t xml:space="preserve">Pansexual </w:t>
            </w:r>
          </w:p>
        </w:tc>
        <w:tc>
          <w:tcPr>
            <w:tcW w:w="12089" w:type="dxa"/>
          </w:tcPr>
          <w:p w:rsidR="00613904" w:rsidRPr="006C152E" w:rsidRDefault="00613904" w:rsidP="00613904">
            <w:pPr>
              <w:rPr>
                <w:rFonts w:ascii="Arial" w:hAnsi="Arial" w:cs="Arial"/>
                <w:sz w:val="24"/>
              </w:rPr>
            </w:pPr>
            <w:r w:rsidRPr="006C152E">
              <w:rPr>
                <w:rFonts w:ascii="Arial" w:hAnsi="Arial" w:cs="Arial"/>
                <w:sz w:val="24"/>
              </w:rPr>
              <w:t>Romantic, emotional, intellectual, or spiritual attraction to people of any sex or gender identity</w:t>
            </w:r>
          </w:p>
        </w:tc>
      </w:tr>
      <w:tr w:rsidR="00613904" w:rsidTr="006F7D2C">
        <w:trPr>
          <w:trHeight w:val="377"/>
        </w:trPr>
        <w:tc>
          <w:tcPr>
            <w:tcW w:w="2425" w:type="dxa"/>
          </w:tcPr>
          <w:p w:rsidR="00613904" w:rsidRPr="006C152E" w:rsidRDefault="00613904" w:rsidP="00613904">
            <w:pPr>
              <w:rPr>
                <w:rFonts w:ascii="Arial" w:hAnsi="Arial" w:cs="Arial"/>
                <w:b/>
                <w:sz w:val="24"/>
              </w:rPr>
            </w:pPr>
            <w:r w:rsidRPr="006C152E">
              <w:rPr>
                <w:rFonts w:ascii="Arial" w:hAnsi="Arial" w:cs="Arial"/>
                <w:b/>
                <w:sz w:val="24"/>
              </w:rPr>
              <w:t xml:space="preserve">Sexual Orientation </w:t>
            </w:r>
          </w:p>
        </w:tc>
        <w:tc>
          <w:tcPr>
            <w:tcW w:w="12089" w:type="dxa"/>
          </w:tcPr>
          <w:p w:rsidR="00613904" w:rsidRPr="006C152E" w:rsidRDefault="00613904" w:rsidP="00613904">
            <w:pPr>
              <w:rPr>
                <w:rFonts w:ascii="Arial" w:hAnsi="Arial" w:cs="Arial"/>
                <w:sz w:val="24"/>
              </w:rPr>
            </w:pPr>
            <w:r w:rsidRPr="006C152E">
              <w:rPr>
                <w:rFonts w:ascii="Arial" w:hAnsi="Arial" w:cs="Arial"/>
                <w:sz w:val="24"/>
              </w:rPr>
              <w:t>An innate or undisputable enduring emotional, romantic, or sexual attraction to other people</w:t>
            </w:r>
          </w:p>
        </w:tc>
      </w:tr>
      <w:tr w:rsidR="00613904" w:rsidTr="006F7D2C">
        <w:trPr>
          <w:trHeight w:val="710"/>
        </w:trPr>
        <w:tc>
          <w:tcPr>
            <w:tcW w:w="2425" w:type="dxa"/>
          </w:tcPr>
          <w:p w:rsidR="00613904" w:rsidRPr="006C152E" w:rsidRDefault="00613904" w:rsidP="00613904">
            <w:pPr>
              <w:rPr>
                <w:rFonts w:ascii="Arial" w:hAnsi="Arial" w:cs="Arial"/>
                <w:b/>
                <w:sz w:val="24"/>
              </w:rPr>
            </w:pPr>
            <w:r w:rsidRPr="006C152E">
              <w:rPr>
                <w:rFonts w:ascii="Arial" w:hAnsi="Arial" w:cs="Arial"/>
                <w:b/>
                <w:sz w:val="24"/>
              </w:rPr>
              <w:t xml:space="preserve">Two-Spirit </w:t>
            </w:r>
          </w:p>
        </w:tc>
        <w:tc>
          <w:tcPr>
            <w:tcW w:w="12089" w:type="dxa"/>
          </w:tcPr>
          <w:p w:rsidR="00613904" w:rsidRPr="006C152E" w:rsidRDefault="00613904" w:rsidP="00613904">
            <w:pPr>
              <w:rPr>
                <w:rFonts w:ascii="Arial" w:hAnsi="Arial" w:cs="Arial"/>
                <w:sz w:val="24"/>
              </w:rPr>
            </w:pPr>
            <w:r w:rsidRPr="006C152E">
              <w:rPr>
                <w:rFonts w:ascii="Arial" w:hAnsi="Arial" w:cs="Arial"/>
                <w:sz w:val="24"/>
              </w:rPr>
              <w:t>A modern, Native-exclusive term used by some Indigenous North Americans to describe their gender identity in Indigenous, spiritual, non-Western ways. A Two-Spirit person has specific traditional roles and responsibilities within their community, and not all Native LGBTQ people identify as Two-Spirit.</w:t>
            </w:r>
          </w:p>
        </w:tc>
      </w:tr>
    </w:tbl>
    <w:p w:rsidR="00613904" w:rsidRDefault="00613904" w:rsidP="00BE22D3">
      <w:pPr>
        <w:jc w:val="center"/>
        <w:rPr>
          <w:rFonts w:ascii="Arial" w:hAnsi="Arial" w:cs="Arial"/>
          <w:sz w:val="24"/>
          <w:szCs w:val="24"/>
        </w:rPr>
      </w:pPr>
    </w:p>
    <w:p w:rsidR="00613904" w:rsidRDefault="00613904" w:rsidP="00BE22D3">
      <w:pPr>
        <w:jc w:val="center"/>
        <w:rPr>
          <w:rFonts w:ascii="Arial" w:hAnsi="Arial" w:cs="Arial"/>
          <w:sz w:val="24"/>
          <w:szCs w:val="24"/>
        </w:rPr>
      </w:pPr>
    </w:p>
    <w:p w:rsidR="006C152E" w:rsidRDefault="006C152E">
      <w:pPr>
        <w:rPr>
          <w:rFonts w:ascii="Arial" w:hAnsi="Arial" w:cs="Arial"/>
          <w:sz w:val="24"/>
          <w:szCs w:val="24"/>
        </w:rPr>
      </w:pPr>
      <w:r>
        <w:rPr>
          <w:rFonts w:ascii="Arial" w:hAnsi="Arial" w:cs="Arial"/>
          <w:sz w:val="24"/>
          <w:szCs w:val="24"/>
        </w:rPr>
        <w:br w:type="page"/>
      </w:r>
    </w:p>
    <w:p w:rsidR="00613904" w:rsidRDefault="006C152E" w:rsidP="006C152E">
      <w:pPr>
        <w:jc w:val="center"/>
        <w:rPr>
          <w:rFonts w:ascii="Arial" w:hAnsi="Arial" w:cs="Arial"/>
          <w:sz w:val="24"/>
          <w:szCs w:val="24"/>
        </w:rPr>
      </w:pPr>
      <w:r>
        <w:rPr>
          <w:rFonts w:ascii="Arial" w:hAnsi="Arial" w:cs="Arial"/>
          <w:b/>
          <w:bCs/>
          <w:sz w:val="32"/>
          <w:szCs w:val="32"/>
          <w:u w:val="single"/>
        </w:rPr>
        <w:t xml:space="preserve">Gender Identity </w:t>
      </w:r>
      <w:r w:rsidRPr="00613904">
        <w:rPr>
          <w:rFonts w:ascii="Arial" w:hAnsi="Arial" w:cs="Arial"/>
          <w:b/>
          <w:bCs/>
          <w:sz w:val="32"/>
          <w:szCs w:val="32"/>
          <w:u w:val="single"/>
        </w:rPr>
        <w:t>Terminology</w:t>
      </w:r>
    </w:p>
    <w:p w:rsidR="006F7D2C" w:rsidRDefault="006F7D2C" w:rsidP="00613904">
      <w:pPr>
        <w:jc w:val="center"/>
        <w:rPr>
          <w:rFonts w:ascii="Arial" w:hAnsi="Arial" w:cs="Arial"/>
          <w:b/>
          <w:bCs/>
          <w:sz w:val="32"/>
          <w:szCs w:val="32"/>
          <w:u w:val="single"/>
        </w:rPr>
      </w:pPr>
    </w:p>
    <w:tbl>
      <w:tblPr>
        <w:tblStyle w:val="TableGrid"/>
        <w:tblpPr w:leftFromText="180" w:rightFromText="180" w:vertAnchor="page" w:horzAnchor="margin" w:tblpXSpec="center" w:tblpY="2161"/>
        <w:tblW w:w="14514" w:type="dxa"/>
        <w:tblLook w:val="04A0" w:firstRow="1" w:lastRow="0" w:firstColumn="1" w:lastColumn="0" w:noHBand="0" w:noVBand="1"/>
      </w:tblPr>
      <w:tblGrid>
        <w:gridCol w:w="2515"/>
        <w:gridCol w:w="11999"/>
      </w:tblGrid>
      <w:tr w:rsidR="00613904" w:rsidRPr="00BE22D3" w:rsidTr="00613904">
        <w:trPr>
          <w:trHeight w:val="341"/>
        </w:trPr>
        <w:tc>
          <w:tcPr>
            <w:tcW w:w="2515" w:type="dxa"/>
            <w:shd w:val="clear" w:color="auto" w:fill="F2F2F2" w:themeFill="background1" w:themeFillShade="F2"/>
          </w:tcPr>
          <w:p w:rsidR="00613904" w:rsidRPr="006C152E" w:rsidRDefault="00613904" w:rsidP="00DE6C53">
            <w:pPr>
              <w:rPr>
                <w:rFonts w:ascii="Arial" w:hAnsi="Arial" w:cs="Arial"/>
                <w:b/>
                <w:bCs/>
                <w:sz w:val="28"/>
                <w:szCs w:val="18"/>
              </w:rPr>
            </w:pPr>
            <w:r w:rsidRPr="006C152E">
              <w:rPr>
                <w:rFonts w:ascii="Arial" w:hAnsi="Arial" w:cs="Arial"/>
                <w:b/>
                <w:bCs/>
                <w:sz w:val="28"/>
                <w:szCs w:val="18"/>
              </w:rPr>
              <w:t>Terminology</w:t>
            </w:r>
          </w:p>
        </w:tc>
        <w:tc>
          <w:tcPr>
            <w:tcW w:w="11999" w:type="dxa"/>
            <w:shd w:val="clear" w:color="auto" w:fill="F2F2F2" w:themeFill="background1" w:themeFillShade="F2"/>
          </w:tcPr>
          <w:p w:rsidR="00613904" w:rsidRPr="006C152E" w:rsidRDefault="00613904" w:rsidP="00DE6C53">
            <w:pPr>
              <w:rPr>
                <w:rFonts w:ascii="Arial" w:hAnsi="Arial" w:cs="Arial"/>
                <w:b/>
                <w:bCs/>
                <w:sz w:val="28"/>
                <w:szCs w:val="18"/>
              </w:rPr>
            </w:pPr>
            <w:r w:rsidRPr="006C152E">
              <w:rPr>
                <w:rFonts w:ascii="Arial" w:hAnsi="Arial" w:cs="Arial"/>
                <w:b/>
                <w:bCs/>
                <w:sz w:val="28"/>
                <w:szCs w:val="18"/>
              </w:rPr>
              <w:t>Definition</w:t>
            </w:r>
          </w:p>
        </w:tc>
      </w:tr>
      <w:tr w:rsidR="00613904" w:rsidRPr="005C4784" w:rsidTr="00613904">
        <w:trPr>
          <w:trHeight w:val="341"/>
        </w:trPr>
        <w:tc>
          <w:tcPr>
            <w:tcW w:w="2515" w:type="dxa"/>
          </w:tcPr>
          <w:p w:rsidR="00613904" w:rsidRPr="006C152E" w:rsidRDefault="00613904" w:rsidP="00613904">
            <w:pPr>
              <w:rPr>
                <w:rFonts w:ascii="Arial" w:hAnsi="Arial" w:cs="Arial"/>
                <w:b/>
                <w:bCs/>
                <w:sz w:val="24"/>
                <w:szCs w:val="18"/>
              </w:rPr>
            </w:pPr>
            <w:r w:rsidRPr="006C152E">
              <w:rPr>
                <w:rFonts w:ascii="Arial" w:hAnsi="Arial" w:cs="Arial"/>
                <w:b/>
                <w:sz w:val="24"/>
              </w:rPr>
              <w:t xml:space="preserve">Cisgender </w:t>
            </w:r>
          </w:p>
        </w:tc>
        <w:tc>
          <w:tcPr>
            <w:tcW w:w="11999" w:type="dxa"/>
          </w:tcPr>
          <w:p w:rsidR="00613904" w:rsidRPr="006C152E" w:rsidRDefault="00613904" w:rsidP="00613904">
            <w:pPr>
              <w:rPr>
                <w:rFonts w:ascii="Arial" w:hAnsi="Arial" w:cs="Arial"/>
                <w:b/>
                <w:bCs/>
                <w:sz w:val="24"/>
                <w:szCs w:val="18"/>
              </w:rPr>
            </w:pPr>
            <w:r w:rsidRPr="006C152E">
              <w:rPr>
                <w:rFonts w:ascii="Arial" w:hAnsi="Arial" w:cs="Arial"/>
                <w:sz w:val="24"/>
              </w:rPr>
              <w:t>A person whose gender identity matches the sex assigned to them at birth</w:t>
            </w:r>
          </w:p>
        </w:tc>
      </w:tr>
      <w:tr w:rsidR="00613904" w:rsidRPr="005C4784" w:rsidTr="006F7D2C">
        <w:trPr>
          <w:trHeight w:val="359"/>
        </w:trPr>
        <w:tc>
          <w:tcPr>
            <w:tcW w:w="2515" w:type="dxa"/>
          </w:tcPr>
          <w:p w:rsidR="00613904" w:rsidRPr="006C152E" w:rsidRDefault="00613904" w:rsidP="00613904">
            <w:pPr>
              <w:rPr>
                <w:rFonts w:ascii="Arial" w:hAnsi="Arial" w:cs="Arial"/>
                <w:b/>
                <w:bCs/>
                <w:sz w:val="24"/>
                <w:szCs w:val="18"/>
              </w:rPr>
            </w:pPr>
            <w:r w:rsidRPr="006C152E">
              <w:rPr>
                <w:rFonts w:ascii="Arial" w:hAnsi="Arial" w:cs="Arial"/>
                <w:b/>
                <w:sz w:val="24"/>
              </w:rPr>
              <w:t xml:space="preserve">Female </w:t>
            </w:r>
          </w:p>
        </w:tc>
        <w:tc>
          <w:tcPr>
            <w:tcW w:w="11999" w:type="dxa"/>
          </w:tcPr>
          <w:p w:rsidR="00613904" w:rsidRPr="006C152E" w:rsidRDefault="00613904" w:rsidP="00613904">
            <w:pPr>
              <w:rPr>
                <w:rFonts w:ascii="Arial" w:hAnsi="Arial" w:cs="Arial"/>
                <w:sz w:val="24"/>
              </w:rPr>
            </w:pPr>
            <w:r w:rsidRPr="006C152E">
              <w:rPr>
                <w:rFonts w:ascii="Arial" w:hAnsi="Arial" w:cs="Arial"/>
                <w:sz w:val="24"/>
              </w:rPr>
              <w:t>A person who self-identifies as female</w:t>
            </w:r>
          </w:p>
        </w:tc>
      </w:tr>
      <w:tr w:rsidR="00613904" w:rsidRPr="00361868" w:rsidTr="006F7D2C">
        <w:trPr>
          <w:trHeight w:val="719"/>
        </w:trPr>
        <w:tc>
          <w:tcPr>
            <w:tcW w:w="2515" w:type="dxa"/>
          </w:tcPr>
          <w:p w:rsidR="00613904" w:rsidRPr="006C152E" w:rsidRDefault="00613904" w:rsidP="00613904">
            <w:pPr>
              <w:rPr>
                <w:rFonts w:ascii="Arial" w:hAnsi="Arial" w:cs="Arial"/>
                <w:b/>
                <w:sz w:val="24"/>
              </w:rPr>
            </w:pPr>
            <w:r w:rsidRPr="006C152E">
              <w:rPr>
                <w:rFonts w:ascii="Arial" w:hAnsi="Arial" w:cs="Arial"/>
                <w:b/>
                <w:sz w:val="24"/>
              </w:rPr>
              <w:t>Gender</w:t>
            </w:r>
          </w:p>
        </w:tc>
        <w:tc>
          <w:tcPr>
            <w:tcW w:w="11999" w:type="dxa"/>
          </w:tcPr>
          <w:p w:rsidR="00613904" w:rsidRPr="006C152E" w:rsidRDefault="00613904" w:rsidP="00613904">
            <w:pPr>
              <w:rPr>
                <w:rFonts w:ascii="Arial" w:hAnsi="Arial" w:cs="Arial"/>
                <w:sz w:val="24"/>
              </w:rPr>
            </w:pPr>
            <w:r w:rsidRPr="006C152E">
              <w:rPr>
                <w:rFonts w:ascii="Arial" w:hAnsi="Arial" w:cs="Arial"/>
                <w:sz w:val="24"/>
              </w:rPr>
              <w:t>Difficult to define, but it can refer to the role of a male or female in society, known as a gender role, or an individual’s concept of themselves, or gender identity. Women’s and men’s socially constructed characteristics, such as norms, roles, and relationships, vary from society to society and can be changed.</w:t>
            </w:r>
          </w:p>
        </w:tc>
      </w:tr>
      <w:tr w:rsidR="00613904" w:rsidRPr="00361868" w:rsidTr="006F7D2C">
        <w:trPr>
          <w:trHeight w:val="521"/>
        </w:trPr>
        <w:tc>
          <w:tcPr>
            <w:tcW w:w="2515" w:type="dxa"/>
          </w:tcPr>
          <w:p w:rsidR="00613904" w:rsidRPr="006C152E" w:rsidRDefault="00613904" w:rsidP="00613904">
            <w:pPr>
              <w:rPr>
                <w:rFonts w:ascii="Arial" w:hAnsi="Arial" w:cs="Arial"/>
                <w:b/>
                <w:sz w:val="24"/>
              </w:rPr>
            </w:pPr>
            <w:r w:rsidRPr="006C152E">
              <w:rPr>
                <w:rFonts w:ascii="Arial" w:hAnsi="Arial" w:cs="Arial"/>
                <w:b/>
                <w:sz w:val="24"/>
              </w:rPr>
              <w:t xml:space="preserve">Gender Identity </w:t>
            </w:r>
          </w:p>
        </w:tc>
        <w:tc>
          <w:tcPr>
            <w:tcW w:w="11999" w:type="dxa"/>
          </w:tcPr>
          <w:p w:rsidR="00613904" w:rsidRPr="006C152E" w:rsidRDefault="00613904" w:rsidP="00613904">
            <w:pPr>
              <w:rPr>
                <w:rFonts w:ascii="Arial" w:hAnsi="Arial" w:cs="Arial"/>
                <w:sz w:val="24"/>
              </w:rPr>
            </w:pPr>
            <w:r w:rsidRPr="006C152E">
              <w:rPr>
                <w:rFonts w:ascii="Arial" w:hAnsi="Arial" w:cs="Arial"/>
                <w:sz w:val="24"/>
              </w:rPr>
              <w:t>One’s innermost concept of self as male, female, a blend of both or neither – how individuals perceive themselves and what they call themselves. One’s gender identity can be the same or different from the sex assigned to them at birth</w:t>
            </w:r>
          </w:p>
        </w:tc>
      </w:tr>
      <w:tr w:rsidR="00613904" w:rsidRPr="00361868" w:rsidTr="006F7D2C">
        <w:trPr>
          <w:trHeight w:val="539"/>
        </w:trPr>
        <w:tc>
          <w:tcPr>
            <w:tcW w:w="2515" w:type="dxa"/>
          </w:tcPr>
          <w:p w:rsidR="00613904" w:rsidRPr="006C152E" w:rsidRDefault="00613904" w:rsidP="00613904">
            <w:pPr>
              <w:rPr>
                <w:rFonts w:ascii="Arial" w:hAnsi="Arial" w:cs="Arial"/>
                <w:b/>
                <w:sz w:val="24"/>
              </w:rPr>
            </w:pPr>
            <w:r w:rsidRPr="006C152E">
              <w:rPr>
                <w:rFonts w:ascii="Arial" w:hAnsi="Arial" w:cs="Arial"/>
                <w:b/>
                <w:sz w:val="24"/>
              </w:rPr>
              <w:t xml:space="preserve">Gender Non-Binary </w:t>
            </w:r>
          </w:p>
        </w:tc>
        <w:tc>
          <w:tcPr>
            <w:tcW w:w="11999" w:type="dxa"/>
          </w:tcPr>
          <w:p w:rsidR="00613904" w:rsidRPr="006C152E" w:rsidRDefault="00613904" w:rsidP="00613904">
            <w:pPr>
              <w:rPr>
                <w:rFonts w:ascii="Arial" w:hAnsi="Arial" w:cs="Arial"/>
                <w:sz w:val="24"/>
                <w:lang w:bidi="en-US"/>
              </w:rPr>
            </w:pPr>
            <w:r w:rsidRPr="006C152E">
              <w:rPr>
                <w:rFonts w:ascii="Arial" w:hAnsi="Arial" w:cs="Arial"/>
                <w:sz w:val="24"/>
              </w:rPr>
              <w:t>Describes a person who does not identify exclusively as masculine or feminine. Non-binary people may identify as both masculine or feminine, somewhere in between, or falling completely outside these categories. While many also identify as transgender, not all non-binary people do</w:t>
            </w:r>
          </w:p>
        </w:tc>
      </w:tr>
      <w:tr w:rsidR="00613904" w:rsidRPr="00C47207" w:rsidTr="00613904">
        <w:trPr>
          <w:trHeight w:val="341"/>
        </w:trPr>
        <w:tc>
          <w:tcPr>
            <w:tcW w:w="2515" w:type="dxa"/>
          </w:tcPr>
          <w:p w:rsidR="00613904" w:rsidRPr="006C152E" w:rsidRDefault="00613904" w:rsidP="003749C1">
            <w:pPr>
              <w:pStyle w:val="TableParagraph"/>
              <w:spacing w:before="62"/>
              <w:ind w:left="0"/>
              <w:rPr>
                <w:b/>
                <w:sz w:val="24"/>
              </w:rPr>
            </w:pPr>
            <w:r w:rsidRPr="006C152E">
              <w:rPr>
                <w:b/>
                <w:sz w:val="24"/>
              </w:rPr>
              <w:t xml:space="preserve">Gender Non-Conforming </w:t>
            </w:r>
          </w:p>
        </w:tc>
        <w:tc>
          <w:tcPr>
            <w:tcW w:w="11999" w:type="dxa"/>
          </w:tcPr>
          <w:p w:rsidR="00613904" w:rsidRPr="006C152E" w:rsidRDefault="00613904" w:rsidP="00613904">
            <w:pPr>
              <w:rPr>
                <w:rFonts w:ascii="Arial" w:hAnsi="Arial" w:cs="Arial"/>
                <w:sz w:val="24"/>
              </w:rPr>
            </w:pPr>
            <w:r w:rsidRPr="006C152E">
              <w:rPr>
                <w:rFonts w:ascii="Arial" w:hAnsi="Arial" w:cs="Arial"/>
                <w:sz w:val="24"/>
              </w:rPr>
              <w:t>A person who does not identify with the male-female binary but instead seeks another gender option authentic for themselves</w:t>
            </w:r>
          </w:p>
        </w:tc>
      </w:tr>
      <w:tr w:rsidR="00613904" w:rsidRPr="00C47207" w:rsidTr="006F7D2C">
        <w:trPr>
          <w:trHeight w:val="584"/>
        </w:trPr>
        <w:tc>
          <w:tcPr>
            <w:tcW w:w="2515" w:type="dxa"/>
          </w:tcPr>
          <w:p w:rsidR="00613904" w:rsidRPr="006C152E" w:rsidRDefault="00613904" w:rsidP="00613904">
            <w:pPr>
              <w:rPr>
                <w:rFonts w:ascii="Arial" w:hAnsi="Arial" w:cs="Arial"/>
                <w:b/>
                <w:sz w:val="24"/>
              </w:rPr>
            </w:pPr>
            <w:r w:rsidRPr="006C152E">
              <w:rPr>
                <w:rFonts w:ascii="Arial" w:hAnsi="Arial" w:cs="Arial"/>
                <w:b/>
                <w:sz w:val="24"/>
              </w:rPr>
              <w:t xml:space="preserve">Genderqueer </w:t>
            </w:r>
          </w:p>
        </w:tc>
        <w:tc>
          <w:tcPr>
            <w:tcW w:w="11999" w:type="dxa"/>
          </w:tcPr>
          <w:p w:rsidR="00613904" w:rsidRPr="006C152E" w:rsidRDefault="00613904" w:rsidP="00613904">
            <w:pPr>
              <w:rPr>
                <w:rFonts w:ascii="Arial" w:hAnsi="Arial" w:cs="Arial"/>
                <w:sz w:val="24"/>
              </w:rPr>
            </w:pPr>
            <w:r w:rsidRPr="006C152E">
              <w:rPr>
                <w:rFonts w:ascii="Arial" w:hAnsi="Arial" w:cs="Arial"/>
                <w:sz w:val="24"/>
              </w:rPr>
              <w:t>A gender identity built around the term “queer.” To be queer is to exist in a way that may not align with heterosexual or homosexual norms. Although typically used to describe a person’s sexual orientation, one can also use genderqueer to express non-binary gender identity.</w:t>
            </w:r>
          </w:p>
        </w:tc>
      </w:tr>
      <w:tr w:rsidR="00613904" w:rsidRPr="00C47207" w:rsidTr="006F7D2C">
        <w:trPr>
          <w:trHeight w:val="359"/>
        </w:trPr>
        <w:tc>
          <w:tcPr>
            <w:tcW w:w="2515" w:type="dxa"/>
          </w:tcPr>
          <w:p w:rsidR="00613904" w:rsidRPr="006C152E" w:rsidRDefault="00613904" w:rsidP="00613904">
            <w:pPr>
              <w:rPr>
                <w:rFonts w:ascii="Arial" w:hAnsi="Arial" w:cs="Arial"/>
                <w:b/>
                <w:sz w:val="24"/>
              </w:rPr>
            </w:pPr>
            <w:r w:rsidRPr="006C152E">
              <w:rPr>
                <w:rFonts w:ascii="Arial" w:hAnsi="Arial" w:cs="Arial"/>
                <w:b/>
                <w:sz w:val="24"/>
              </w:rPr>
              <w:t xml:space="preserve">Male </w:t>
            </w:r>
          </w:p>
        </w:tc>
        <w:tc>
          <w:tcPr>
            <w:tcW w:w="11999" w:type="dxa"/>
          </w:tcPr>
          <w:p w:rsidR="00613904" w:rsidRPr="006C152E" w:rsidRDefault="00613904" w:rsidP="00613904">
            <w:pPr>
              <w:rPr>
                <w:rFonts w:ascii="Arial" w:hAnsi="Arial" w:cs="Arial"/>
                <w:sz w:val="24"/>
              </w:rPr>
            </w:pPr>
            <w:r w:rsidRPr="006C152E">
              <w:rPr>
                <w:rFonts w:ascii="Arial" w:hAnsi="Arial" w:cs="Arial"/>
                <w:sz w:val="24"/>
              </w:rPr>
              <w:t>A person who self-identifies as male</w:t>
            </w:r>
          </w:p>
        </w:tc>
      </w:tr>
      <w:tr w:rsidR="006F7D2C" w:rsidRPr="00C47207" w:rsidTr="006F7D2C">
        <w:trPr>
          <w:trHeight w:val="341"/>
        </w:trPr>
        <w:tc>
          <w:tcPr>
            <w:tcW w:w="2515" w:type="dxa"/>
          </w:tcPr>
          <w:p w:rsidR="006F7D2C" w:rsidRPr="006C152E" w:rsidRDefault="006F7D2C" w:rsidP="006F7D2C">
            <w:pPr>
              <w:rPr>
                <w:rFonts w:ascii="Arial" w:hAnsi="Arial" w:cs="Arial"/>
                <w:b/>
                <w:sz w:val="24"/>
              </w:rPr>
            </w:pPr>
            <w:r w:rsidRPr="006C152E">
              <w:rPr>
                <w:rFonts w:ascii="Arial" w:hAnsi="Arial" w:cs="Arial"/>
                <w:b/>
                <w:sz w:val="24"/>
              </w:rPr>
              <w:t xml:space="preserve">Sex Assigned at Birth </w:t>
            </w:r>
          </w:p>
        </w:tc>
        <w:tc>
          <w:tcPr>
            <w:tcW w:w="11999" w:type="dxa"/>
          </w:tcPr>
          <w:p w:rsidR="006F7D2C" w:rsidRPr="006C152E" w:rsidRDefault="006F7D2C" w:rsidP="006F7D2C">
            <w:pPr>
              <w:rPr>
                <w:rFonts w:ascii="Arial" w:hAnsi="Arial" w:cs="Arial"/>
                <w:sz w:val="24"/>
              </w:rPr>
            </w:pPr>
            <w:r w:rsidRPr="006C152E">
              <w:rPr>
                <w:rFonts w:ascii="Arial" w:hAnsi="Arial" w:cs="Arial"/>
                <w:sz w:val="24"/>
              </w:rPr>
              <w:t>Assigned at birth based on external genitalia presentation, usually by a provider overseeing childbirth. Options include male, female, and intersex</w:t>
            </w:r>
          </w:p>
        </w:tc>
      </w:tr>
      <w:tr w:rsidR="006F7D2C" w:rsidRPr="00C47207" w:rsidTr="006F7D2C">
        <w:trPr>
          <w:trHeight w:val="359"/>
        </w:trPr>
        <w:tc>
          <w:tcPr>
            <w:tcW w:w="2515" w:type="dxa"/>
          </w:tcPr>
          <w:p w:rsidR="006F7D2C" w:rsidRPr="006C152E" w:rsidRDefault="006F7D2C" w:rsidP="006F7D2C">
            <w:pPr>
              <w:rPr>
                <w:rFonts w:ascii="Arial" w:hAnsi="Arial" w:cs="Arial"/>
                <w:b/>
                <w:sz w:val="24"/>
              </w:rPr>
            </w:pPr>
            <w:r w:rsidRPr="006C152E">
              <w:rPr>
                <w:rFonts w:ascii="Arial" w:hAnsi="Arial" w:cs="Arial"/>
                <w:b/>
                <w:sz w:val="24"/>
              </w:rPr>
              <w:t xml:space="preserve">Transgender </w:t>
            </w:r>
          </w:p>
        </w:tc>
        <w:tc>
          <w:tcPr>
            <w:tcW w:w="11999" w:type="dxa"/>
          </w:tcPr>
          <w:p w:rsidR="006F7D2C" w:rsidRPr="006C152E" w:rsidRDefault="006F7D2C" w:rsidP="006F7D2C">
            <w:pPr>
              <w:rPr>
                <w:rFonts w:ascii="Arial" w:hAnsi="Arial" w:cs="Arial"/>
                <w:sz w:val="24"/>
              </w:rPr>
            </w:pPr>
            <w:r w:rsidRPr="006C152E">
              <w:rPr>
                <w:rFonts w:ascii="Arial" w:hAnsi="Arial" w:cs="Arial"/>
                <w:sz w:val="24"/>
              </w:rPr>
              <w:t>A person whose gender identity is different than the sex assigned to them at birth</w:t>
            </w:r>
          </w:p>
        </w:tc>
      </w:tr>
      <w:tr w:rsidR="006F7D2C" w:rsidRPr="00C47207" w:rsidTr="006F7D2C">
        <w:trPr>
          <w:trHeight w:val="701"/>
        </w:trPr>
        <w:tc>
          <w:tcPr>
            <w:tcW w:w="2515" w:type="dxa"/>
          </w:tcPr>
          <w:p w:rsidR="006F7D2C" w:rsidRPr="006C152E" w:rsidRDefault="006F7D2C" w:rsidP="006F7D2C">
            <w:pPr>
              <w:rPr>
                <w:rFonts w:ascii="Arial" w:hAnsi="Arial" w:cs="Arial"/>
                <w:b/>
                <w:sz w:val="24"/>
              </w:rPr>
            </w:pPr>
            <w:r w:rsidRPr="006C152E">
              <w:rPr>
                <w:rFonts w:ascii="Arial" w:hAnsi="Arial" w:cs="Arial"/>
                <w:b/>
                <w:sz w:val="24"/>
              </w:rPr>
              <w:t xml:space="preserve">Two-Spirit </w:t>
            </w:r>
          </w:p>
        </w:tc>
        <w:tc>
          <w:tcPr>
            <w:tcW w:w="11999" w:type="dxa"/>
          </w:tcPr>
          <w:p w:rsidR="006F7D2C" w:rsidRPr="006C152E" w:rsidRDefault="006F7D2C" w:rsidP="006F7D2C">
            <w:pPr>
              <w:rPr>
                <w:rFonts w:ascii="Arial" w:hAnsi="Arial" w:cs="Arial"/>
                <w:sz w:val="24"/>
              </w:rPr>
            </w:pPr>
            <w:r w:rsidRPr="006C152E">
              <w:rPr>
                <w:rFonts w:ascii="Arial" w:hAnsi="Arial" w:cs="Arial"/>
                <w:sz w:val="24"/>
              </w:rPr>
              <w:t>A modern, Native-exclusive term used by some Indigenous North Americans to describe their gender identity in Indigenous, spiritual, non-Western ways. A Two-Spirit person has specific traditional roles and responsibilities within their community, and not all Native LGBTQ people identify as Two-Spirit.</w:t>
            </w:r>
          </w:p>
        </w:tc>
      </w:tr>
    </w:tbl>
    <w:p w:rsidR="00613904" w:rsidRPr="00CA5CE1" w:rsidRDefault="00613904" w:rsidP="006C152E">
      <w:pPr>
        <w:rPr>
          <w:rFonts w:ascii="Arial" w:hAnsi="Arial" w:cs="Arial"/>
          <w:sz w:val="24"/>
          <w:szCs w:val="24"/>
        </w:rPr>
      </w:pPr>
    </w:p>
    <w:sectPr w:rsidR="00613904" w:rsidRPr="00CA5CE1" w:rsidSect="00BE22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zYwMTM3NzczMTZR0lEKTi0uzszPAykwrAUAQGP9HywAAAA="/>
  </w:docVars>
  <w:rsids>
    <w:rsidRoot w:val="00CA5CE1"/>
    <w:rsid w:val="00006874"/>
    <w:rsid w:val="00361868"/>
    <w:rsid w:val="003749C1"/>
    <w:rsid w:val="005C4784"/>
    <w:rsid w:val="00613904"/>
    <w:rsid w:val="006C152E"/>
    <w:rsid w:val="006F7D2C"/>
    <w:rsid w:val="00921B32"/>
    <w:rsid w:val="00BE22D3"/>
    <w:rsid w:val="00C47207"/>
    <w:rsid w:val="00CA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D1A5"/>
  <w15:chartTrackingRefBased/>
  <w15:docId w15:val="{81E35511-8ADD-4204-AB87-8189EC5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3904"/>
    <w:pPr>
      <w:widowControl w:val="0"/>
      <w:autoSpaceDE w:val="0"/>
      <w:autoSpaceDN w:val="0"/>
      <w:spacing w:before="59" w:after="0" w:line="240" w:lineRule="auto"/>
      <w:ind w:left="107"/>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8F57-AF37-44A6-A1A1-CEF6CDB6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Paz</dc:creator>
  <cp:keywords/>
  <dc:description/>
  <cp:lastModifiedBy>Haverkate, Richard (IHS/HQ)</cp:lastModifiedBy>
  <cp:revision>3</cp:revision>
  <dcterms:created xsi:type="dcterms:W3CDTF">2020-10-28T15:44:00Z</dcterms:created>
  <dcterms:modified xsi:type="dcterms:W3CDTF">2020-10-28T15:57:00Z</dcterms:modified>
</cp:coreProperties>
</file>